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5ED7"/>
          <w:sz w:val="20"/>
        </w:rPr>
        <w:t>BLUE LABEL TECHNOLOGIES · CYDESYS</w:t>
      </w:r>
    </w:p>
    <w:p>
      <w:pPr>
        <w:jc w:val="center"/>
      </w:pPr>
      <w:r>
        <w:rPr>
          <w:b/>
          <w:color w:val="0B1220"/>
          <w:sz w:val="44"/>
        </w:rPr>
        <w:t>Checklist de Cierre — Propuesta ECI</w:t>
      </w:r>
    </w:p>
    <w:p>
      <w:pPr>
        <w:jc w:val="center"/>
      </w:pPr>
      <w:r>
        <w:rPr>
          <w:color w:val="42506B"/>
          <w:sz w:val="25"/>
        </w:rPr>
        <w:t>Qué falta para radicar la propuesta técnica y económica completa — Escuela Colombiana de Ingeniería Julio Garavito</w:t>
      </w:r>
    </w:p>
    <w:p>
      <w:pPr>
        <w:jc w:val="center"/>
      </w:pPr>
      <w:r>
        <w:rPr>
          <w:i/>
          <w:color w:val="42506B"/>
          <w:sz w:val="19"/>
        </w:rPr>
        <w:t>Actualizado el 5 de septiembre de 2026, tras recibir los documentos jurídicos y financieros de Blue Label Technologies. Fecha límite de envío de la propuesta técnica: 7 de septiembre de 2026, 12:00 pm.</w:t>
      </w:r>
    </w:p>
    <w:p/>
    <w:p>
      <w:pPr>
        <w:pStyle w:val="Heading1"/>
      </w:pPr>
      <w:r>
        <w:rPr>
          <w:b/>
          <w:color w:val="08387F"/>
          <w:sz w:val="30"/>
        </w:rPr>
        <w:t>Cumplimiento para la entrega del 7 de septiembre</w:t>
      </w:r>
    </w:p>
    <w:p>
      <w:r>
        <w:rPr>
          <w:i w:val="0"/>
          <w:color w:val="42506B"/>
          <w:sz w:val="19"/>
        </w:rPr>
        <w:t>Con los documentos de Blue Label Technologies recibidos, el bloqueante más grave del checklist anterior (BLT sin ningún documento propio) queda resuelto. Persisten dos vencimientos de fecha (Cámara de Comercio de ambas empresas) y algunos documentos comerciales (póliza, carta de aval, contrato).</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b/>
                <w:color w:val="12805A"/>
                <w:sz w:val="56"/>
              </w:rPr>
              <w:t>100%</w:t>
            </w:r>
          </w:p>
          <w:p>
            <w:pPr>
              <w:jc w:val="center"/>
            </w:pPr>
            <w:r>
              <w:rPr>
                <w:color w:val="42506B"/>
                <w:sz w:val="17"/>
              </w:rPr>
              <w:t>Contenido técnico y arquitectura</w:t>
              <w:br/>
              <w:t>(listo para el 7-sep)</w:t>
            </w:r>
          </w:p>
        </w:tc>
        <w:tc>
          <w:tcPr>
            <w:tcW w:type="dxa" w:w="3249"/>
          </w:tcPr>
          <w:p>
            <w:pPr>
              <w:jc w:val="center"/>
            </w:pPr>
            <w:r/>
            <w:r>
              <w:rPr>
                <w:b/>
                <w:color w:val="B4560D"/>
                <w:sz w:val="56"/>
              </w:rPr>
              <w:t>~55%</w:t>
            </w:r>
          </w:p>
          <w:p>
            <w:pPr>
              <w:jc w:val="center"/>
            </w:pPr>
            <w:r>
              <w:rPr>
                <w:color w:val="42506B"/>
                <w:sz w:val="17"/>
              </w:rPr>
              <w:t>Habilitantes jurídicos,</w:t>
              <w:br/>
              <w:t>financieros y comerciales</w:t>
            </w:r>
          </w:p>
        </w:tc>
        <w:tc>
          <w:tcPr>
            <w:tcW w:type="dxa" w:w="3249"/>
          </w:tcPr>
          <w:p>
            <w:pPr>
              <w:jc w:val="center"/>
            </w:pPr>
            <w:r/>
            <w:r>
              <w:rPr>
                <w:b/>
                <w:color w:val="0B5ED7"/>
                <w:sz w:val="56"/>
              </w:rPr>
              <w:t>~80%</w:t>
            </w:r>
          </w:p>
          <w:p>
            <w:pPr>
              <w:jc w:val="center"/>
            </w:pPr>
            <w:r>
              <w:rPr>
                <w:color w:val="42506B"/>
                <w:sz w:val="17"/>
              </w:rPr>
              <w:t>Cumplimiento global ponderado</w:t>
              <w:br/>
              <w:t>para la fecha límite</w:t>
            </w:r>
          </w:p>
        </w:tc>
      </w:tr>
    </w:tbl>
    <w:p/>
    <w:p>
      <w:r>
        <w:rPr>
          <w:i/>
          <w:color w:val="42506B"/>
          <w:sz w:val="18"/>
        </w:rPr>
        <w:t>Salto de ~60% a ~80% en el cumplimiento global tras recibir RUT, Cámara de Comercio, estados financieros, certificación bancaria, certificados de Contraloría y Procuraduría (BLT y representante legal), y tres cartas de experiencia comercial de Blue Label Technologies.</w:t>
      </w:r>
    </w:p>
    <w:p>
      <w:r>
        <w:br w:type="page"/>
      </w:r>
    </w:p>
    <w:p>
      <w:pPr>
        <w:pStyle w:val="Heading1"/>
      </w:pPr>
      <w:r>
        <w:rPr>
          <w:b/>
          <w:color w:val="08387F"/>
          <w:sz w:val="30"/>
        </w:rPr>
        <w:t>Resumen ejecutivo por categoría</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CE6F5"/>
          </w:tcPr>
          <w:p>
            <w:r/>
            <w:r>
              <w:rPr>
                <w:b/>
                <w:color w:val="08387F"/>
                <w:sz w:val="18"/>
              </w:rPr>
              <w:t>Categoría</w:t>
            </w:r>
          </w:p>
        </w:tc>
        <w:tc>
          <w:tcPr>
            <w:tcW w:type="dxa" w:w="3628"/>
            <w:shd w:val="clear" w:color="auto" w:fill="DCE6F5"/>
          </w:tcPr>
          <w:p>
            <w:r/>
            <w:r>
              <w:rPr>
                <w:b/>
                <w:color w:val="08387F"/>
                <w:sz w:val="18"/>
              </w:rPr>
              <w:t>Estado</w:t>
            </w:r>
          </w:p>
        </w:tc>
        <w:tc>
          <w:tcPr>
            <w:tcW w:type="dxa" w:w="1587"/>
            <w:shd w:val="clear" w:color="auto" w:fill="DCE6F5"/>
          </w:tcPr>
          <w:p>
            <w:r/>
            <w:r>
              <w:rPr>
                <w:b/>
                <w:color w:val="08387F"/>
                <w:sz w:val="18"/>
              </w:rPr>
              <w:t>Bloqueante para 7-sep</w:t>
            </w:r>
          </w:p>
        </w:tc>
      </w:tr>
      <w:tr>
        <w:tc>
          <w:tcPr>
            <w:tcW w:type="dxa" w:w="3969"/>
          </w:tcPr>
          <w:p>
            <w:r/>
            <w:r>
              <w:rPr>
                <w:b w:val="0"/>
                <w:sz w:val="18"/>
              </w:rPr>
              <w:t>Arquitectura técnica integrada (Sangfor + Cydesys HPE)</w:t>
            </w:r>
          </w:p>
        </w:tc>
        <w:tc>
          <w:tcPr>
            <w:tcW w:type="dxa" w:w="3628"/>
          </w:tcPr>
          <w:p>
            <w:r/>
            <w:r>
              <w:rPr>
                <w:b w:val="0"/>
                <w:sz w:val="18"/>
              </w:rPr>
              <w:t>Listo — presentación técnica final consolidada</w:t>
            </w:r>
          </w:p>
        </w:tc>
        <w:tc>
          <w:tcPr>
            <w:tcW w:type="dxa" w:w="1587"/>
          </w:tcPr>
          <w:p>
            <w:r/>
            <w:r>
              <w:rPr>
                <w:b w:val="0"/>
                <w:sz w:val="18"/>
              </w:rPr>
              <w:t>No</w:t>
            </w:r>
          </w:p>
        </w:tc>
      </w:tr>
      <w:tr>
        <w:tc>
          <w:tcPr>
            <w:tcW w:type="dxa" w:w="3969"/>
          </w:tcPr>
          <w:p>
            <w:r/>
            <w:r>
              <w:rPr>
                <w:b w:val="0"/>
                <w:sz w:val="18"/>
              </w:rPr>
              <w:t>Cotización de hardware (Opción A HPE / Opción B Dell)</w:t>
            </w:r>
          </w:p>
        </w:tc>
        <w:tc>
          <w:tcPr>
            <w:tcW w:type="dxa" w:w="3628"/>
          </w:tcPr>
          <w:p>
            <w:r/>
            <w:r>
              <w:rPr>
                <w:b w:val="0"/>
                <w:sz w:val="18"/>
              </w:rPr>
              <w:t>Listo — dos rutas cotizadas y comparadas</w:t>
            </w:r>
          </w:p>
        </w:tc>
        <w:tc>
          <w:tcPr>
            <w:tcW w:type="dxa" w:w="1587"/>
          </w:tcPr>
          <w:p>
            <w:r/>
            <w:r>
              <w:rPr>
                <w:b w:val="0"/>
                <w:sz w:val="18"/>
              </w:rPr>
              <w:t>No</w:t>
            </w:r>
          </w:p>
        </w:tc>
      </w:tr>
      <w:tr>
        <w:tc>
          <w:tcPr>
            <w:tcW w:type="dxa" w:w="3969"/>
          </w:tcPr>
          <w:p>
            <w:r/>
            <w:r>
              <w:rPr>
                <w:b w:val="0"/>
                <w:sz w:val="18"/>
              </w:rPr>
              <w:t>Presentación técnica final (deck consolidado)</w:t>
            </w:r>
          </w:p>
        </w:tc>
        <w:tc>
          <w:tcPr>
            <w:tcW w:type="dxa" w:w="3628"/>
          </w:tcPr>
          <w:p>
            <w:r/>
            <w:r>
              <w:rPr>
                <w:b w:val="0"/>
                <w:sz w:val="18"/>
              </w:rPr>
              <w:t>Listo — generada y publicada en el portal</w:t>
            </w:r>
          </w:p>
        </w:tc>
        <w:tc>
          <w:tcPr>
            <w:tcW w:type="dxa" w:w="1587"/>
          </w:tcPr>
          <w:p>
            <w:r/>
            <w:r>
              <w:rPr>
                <w:b w:val="0"/>
                <w:sz w:val="18"/>
              </w:rPr>
              <w:t>No</w:t>
            </w:r>
          </w:p>
        </w:tc>
      </w:tr>
      <w:tr>
        <w:tc>
          <w:tcPr>
            <w:tcW w:type="dxa" w:w="3969"/>
          </w:tcPr>
          <w:p>
            <w:r/>
            <w:r>
              <w:rPr>
                <w:b w:val="0"/>
                <w:sz w:val="18"/>
              </w:rPr>
              <w:t>RUT de Blue Label Technologies</w:t>
            </w:r>
          </w:p>
        </w:tc>
        <w:tc>
          <w:tcPr>
            <w:tcW w:type="dxa" w:w="3628"/>
          </w:tcPr>
          <w:p>
            <w:r/>
            <w:r>
              <w:rPr>
                <w:b w:val="0"/>
                <w:sz w:val="18"/>
              </w:rPr>
              <w:t>Recibido (emitido 19-may-2026) — verificar vigencia frente al plazo del TdR</w:t>
            </w:r>
          </w:p>
        </w:tc>
        <w:tc>
          <w:tcPr>
            <w:tcW w:type="dxa" w:w="1587"/>
          </w:tcPr>
          <w:p>
            <w:r/>
            <w:r>
              <w:rPr>
                <w:b w:val="0"/>
                <w:sz w:val="18"/>
              </w:rPr>
              <w:t>Posible</w:t>
            </w:r>
          </w:p>
        </w:tc>
      </w:tr>
      <w:tr>
        <w:tc>
          <w:tcPr>
            <w:tcW w:type="dxa" w:w="3969"/>
          </w:tcPr>
          <w:p>
            <w:r/>
            <w:r>
              <w:rPr>
                <w:b w:val="0"/>
                <w:sz w:val="18"/>
              </w:rPr>
              <w:t>Cámara de Comercio de Blue Label Technologies</w:t>
            </w:r>
          </w:p>
        </w:tc>
        <w:tc>
          <w:tcPr>
            <w:tcW w:type="dxa" w:w="3628"/>
          </w:tcPr>
          <w:p>
            <w:r/>
            <w:r>
              <w:rPr>
                <w:b w:val="0"/>
                <w:sz w:val="18"/>
              </w:rPr>
              <w:t>Recibido pero vencido para la fecha de cierre (expedido 19-may-2026)</w:t>
            </w:r>
          </w:p>
        </w:tc>
        <w:tc>
          <w:tcPr>
            <w:tcW w:type="dxa" w:w="1587"/>
          </w:tcPr>
          <w:p>
            <w:r/>
            <w:r>
              <w:rPr>
                <w:b w:val="0"/>
                <w:sz w:val="18"/>
              </w:rPr>
              <w:t>Sí — renovar</w:t>
            </w:r>
          </w:p>
        </w:tc>
      </w:tr>
      <w:tr>
        <w:tc>
          <w:tcPr>
            <w:tcW w:type="dxa" w:w="3969"/>
          </w:tcPr>
          <w:p>
            <w:r/>
            <w:r>
              <w:rPr>
                <w:b w:val="0"/>
                <w:sz w:val="18"/>
              </w:rPr>
              <w:t>Cámara de Comercio de Cydesys/Cyberware</w:t>
            </w:r>
          </w:p>
        </w:tc>
        <w:tc>
          <w:tcPr>
            <w:tcW w:type="dxa" w:w="3628"/>
          </w:tcPr>
          <w:p>
            <w:r/>
            <w:r>
              <w:rPr>
                <w:b w:val="0"/>
                <w:sz w:val="18"/>
              </w:rPr>
              <w:t>Vencida para la fecha de cierre (expedida 11-ago-2026)</w:t>
            </w:r>
          </w:p>
        </w:tc>
        <w:tc>
          <w:tcPr>
            <w:tcW w:type="dxa" w:w="1587"/>
          </w:tcPr>
          <w:p>
            <w:r/>
            <w:r>
              <w:rPr>
                <w:b w:val="0"/>
                <w:sz w:val="18"/>
              </w:rPr>
              <w:t>Sí — renovar</w:t>
            </w:r>
          </w:p>
        </w:tc>
      </w:tr>
      <w:tr>
        <w:tc>
          <w:tcPr>
            <w:tcW w:type="dxa" w:w="3969"/>
          </w:tcPr>
          <w:p>
            <w:r/>
            <w:r>
              <w:rPr>
                <w:b w:val="0"/>
                <w:sz w:val="18"/>
              </w:rPr>
              <w:t>Estados financieros 2025 de Blue Label Technologies</w:t>
            </w:r>
          </w:p>
        </w:tc>
        <w:tc>
          <w:tcPr>
            <w:tcW w:type="dxa" w:w="3628"/>
          </w:tcPr>
          <w:p>
            <w:r/>
            <w:r>
              <w:rPr>
                <w:b w:val="0"/>
                <w:sz w:val="18"/>
              </w:rPr>
              <w:t>Archivo recibido, contenido pendiente de verificar (no se pudo leer el detalle numérico) — faltan intermedios 2026</w:t>
            </w:r>
          </w:p>
        </w:tc>
        <w:tc>
          <w:tcPr>
            <w:tcW w:type="dxa" w:w="1587"/>
          </w:tcPr>
          <w:p>
            <w:r/>
            <w:r>
              <w:rPr>
                <w:b w:val="0"/>
                <w:sz w:val="18"/>
              </w:rPr>
              <w:t>Posible</w:t>
            </w:r>
          </w:p>
        </w:tc>
      </w:tr>
      <w:tr>
        <w:tc>
          <w:tcPr>
            <w:tcW w:type="dxa" w:w="3969"/>
          </w:tcPr>
          <w:p>
            <w:r/>
            <w:r>
              <w:rPr>
                <w:b w:val="0"/>
                <w:sz w:val="18"/>
              </w:rPr>
              <w:t>Certificación bancaria, Contraloría y Procuraduría (BLT + representante legal)</w:t>
            </w:r>
          </w:p>
        </w:tc>
        <w:tc>
          <w:tcPr>
            <w:tcW w:type="dxa" w:w="3628"/>
          </w:tcPr>
          <w:p>
            <w:r/>
            <w:r>
              <w:rPr>
                <w:b w:val="0"/>
                <w:sz w:val="18"/>
              </w:rPr>
              <w:t>Recibidas y vigentes (14-may-2026), sin reportes ni sanciones</w:t>
            </w:r>
          </w:p>
        </w:tc>
        <w:tc>
          <w:tcPr>
            <w:tcW w:type="dxa" w:w="1587"/>
          </w:tcPr>
          <w:p>
            <w:r/>
            <w:r>
              <w:rPr>
                <w:b w:val="0"/>
                <w:sz w:val="18"/>
              </w:rPr>
              <w:t>No</w:t>
            </w:r>
          </w:p>
        </w:tc>
      </w:tr>
      <w:tr>
        <w:tc>
          <w:tcPr>
            <w:tcW w:type="dxa" w:w="3969"/>
          </w:tcPr>
          <w:p>
            <w:r/>
            <w:r>
              <w:rPr>
                <w:b w:val="0"/>
                <w:sz w:val="18"/>
              </w:rPr>
              <w:t>Cédula del representante legal (Camilo Gómez Uribe)</w:t>
            </w:r>
          </w:p>
        </w:tc>
        <w:tc>
          <w:tcPr>
            <w:tcW w:type="dxa" w:w="3628"/>
          </w:tcPr>
          <w:p>
            <w:r/>
            <w:r>
              <w:rPr>
                <w:b w:val="0"/>
                <w:sz w:val="18"/>
              </w:rPr>
              <w:t>Archivo recibido vacío — reenviar el escaneo original</w:t>
            </w:r>
          </w:p>
        </w:tc>
        <w:tc>
          <w:tcPr>
            <w:tcW w:type="dxa" w:w="1587"/>
          </w:tcPr>
          <w:p>
            <w:r/>
            <w:r>
              <w:rPr>
                <w:b w:val="0"/>
                <w:sz w:val="18"/>
              </w:rPr>
              <w:t>Posible</w:t>
            </w:r>
          </w:p>
        </w:tc>
      </w:tr>
      <w:tr>
        <w:tc>
          <w:tcPr>
            <w:tcW w:type="dxa" w:w="3969"/>
          </w:tcPr>
          <w:p>
            <w:r/>
            <w:r>
              <w:rPr>
                <w:b w:val="0"/>
                <w:sz w:val="18"/>
              </w:rPr>
              <w:t>Certificados de experiencia / referencias comerciales</w:t>
            </w:r>
          </w:p>
        </w:tc>
        <w:tc>
          <w:tcPr>
            <w:tcW w:type="dxa" w:w="3628"/>
          </w:tcPr>
          <w:p>
            <w:r/>
            <w:r>
              <w:rPr>
                <w:b w:val="0"/>
                <w:sz w:val="18"/>
              </w:rPr>
              <w:t>Resuelto — 3 cartas recibidas (Medisinu, Indigo Technologies, Cydesys/Cyberware)</w:t>
            </w:r>
          </w:p>
        </w:tc>
        <w:tc>
          <w:tcPr>
            <w:tcW w:type="dxa" w:w="1587"/>
          </w:tcPr>
          <w:p>
            <w:r/>
            <w:r>
              <w:rPr>
                <w:b w:val="0"/>
                <w:sz w:val="18"/>
              </w:rPr>
              <w:t>No, con nota</w:t>
            </w:r>
          </w:p>
        </w:tc>
      </w:tr>
      <w:tr>
        <w:tc>
          <w:tcPr>
            <w:tcW w:type="dxa" w:w="3969"/>
          </w:tcPr>
          <w:p>
            <w:r/>
            <w:r>
              <w:rPr>
                <w:b w:val="0"/>
                <w:sz w:val="18"/>
              </w:rPr>
              <w:t>Compromiso de Integridad / Anexo 5-6</w:t>
            </w:r>
          </w:p>
        </w:tc>
        <w:tc>
          <w:tcPr>
            <w:tcW w:type="dxa" w:w="3628"/>
          </w:tcPr>
          <w:p>
            <w:r/>
            <w:r>
              <w:rPr>
                <w:b w:val="0"/>
                <w:sz w:val="18"/>
              </w:rPr>
              <w:t>Plantilla sin firmar ni fechar</w:t>
            </w:r>
          </w:p>
        </w:tc>
        <w:tc>
          <w:tcPr>
            <w:tcW w:type="dxa" w:w="1587"/>
          </w:tcPr>
          <w:p>
            <w:r/>
            <w:r>
              <w:rPr>
                <w:b w:val="0"/>
                <w:sz w:val="18"/>
              </w:rPr>
              <w:t>Posible — validar con la ECI</w:t>
            </w:r>
          </w:p>
        </w:tc>
      </w:tr>
      <w:tr>
        <w:tc>
          <w:tcPr>
            <w:tcW w:type="dxa" w:w="3969"/>
          </w:tcPr>
          <w:p>
            <w:r/>
            <w:r>
              <w:rPr>
                <w:b w:val="0"/>
                <w:sz w:val="18"/>
              </w:rPr>
              <w:t>Póliza de seriedad de la oferta (10%)</w:t>
            </w:r>
          </w:p>
        </w:tc>
        <w:tc>
          <w:tcPr>
            <w:tcW w:type="dxa" w:w="3628"/>
          </w:tcPr>
          <w:p>
            <w:r/>
            <w:r>
              <w:rPr>
                <w:b w:val="0"/>
                <w:sz w:val="18"/>
              </w:rPr>
              <w:t>No existe</w:t>
            </w:r>
          </w:p>
        </w:tc>
        <w:tc>
          <w:tcPr>
            <w:tcW w:type="dxa" w:w="1587"/>
          </w:tcPr>
          <w:p>
            <w:r/>
            <w:r>
              <w:rPr>
                <w:b w:val="0"/>
                <w:sz w:val="18"/>
              </w:rPr>
              <w:t>Posible — validar con la ECI</w:t>
            </w:r>
          </w:p>
        </w:tc>
      </w:tr>
      <w:tr>
        <w:tc>
          <w:tcPr>
            <w:tcW w:type="dxa" w:w="3969"/>
          </w:tcPr>
          <w:p>
            <w:r/>
            <w:r>
              <w:rPr>
                <w:b w:val="0"/>
                <w:sz w:val="18"/>
              </w:rPr>
              <w:t>Carta de aval del fabricante (Sangfor/HPE)</w:t>
            </w:r>
          </w:p>
        </w:tc>
        <w:tc>
          <w:tcPr>
            <w:tcW w:type="dxa" w:w="3628"/>
          </w:tcPr>
          <w:p>
            <w:r/>
            <w:r>
              <w:rPr>
                <w:b w:val="0"/>
                <w:sz w:val="18"/>
              </w:rPr>
              <w:t>No emitida</w:t>
            </w:r>
          </w:p>
        </w:tc>
        <w:tc>
          <w:tcPr>
            <w:tcW w:type="dxa" w:w="1587"/>
          </w:tcPr>
          <w:p>
            <w:r/>
            <w:r>
              <w:rPr>
                <w:b w:val="0"/>
                <w:sz w:val="18"/>
              </w:rPr>
              <w:t>Posible — validar con la ECI</w:t>
            </w:r>
          </w:p>
        </w:tc>
      </w:tr>
      <w:tr>
        <w:tc>
          <w:tcPr>
            <w:tcW w:type="dxa" w:w="3969"/>
          </w:tcPr>
          <w:p>
            <w:r/>
            <w:r>
              <w:rPr>
                <w:b w:val="0"/>
                <w:sz w:val="18"/>
              </w:rPr>
              <w:t>Borrador de contrato</w:t>
            </w:r>
          </w:p>
        </w:tc>
        <w:tc>
          <w:tcPr>
            <w:tcW w:type="dxa" w:w="3628"/>
          </w:tcPr>
          <w:p>
            <w:r/>
            <w:r>
              <w:rPr>
                <w:b w:val="0"/>
                <w:sz w:val="18"/>
              </w:rPr>
              <w:t>No elaborado</w:t>
            </w:r>
          </w:p>
        </w:tc>
        <w:tc>
          <w:tcPr>
            <w:tcW w:type="dxa" w:w="1587"/>
          </w:tcPr>
          <w:p>
            <w:r/>
            <w:r>
              <w:rPr>
                <w:b w:val="0"/>
                <w:sz w:val="18"/>
              </w:rPr>
              <w:t>Probablemente no (aplica al 16-sep)</w:t>
            </w:r>
          </w:p>
        </w:tc>
      </w:tr>
      <w:tr>
        <w:tc>
          <w:tcPr>
            <w:tcW w:type="dxa" w:w="3969"/>
          </w:tcPr>
          <w:p>
            <w:r/>
            <w:r>
              <w:rPr>
                <w:b w:val="0"/>
                <w:sz w:val="18"/>
              </w:rPr>
              <w:t>Anexo 2 (TCO 5 años) y Anexo 4 (cuadro técnico)</w:t>
            </w:r>
          </w:p>
        </w:tc>
        <w:tc>
          <w:tcPr>
            <w:tcW w:type="dxa" w:w="3628"/>
          </w:tcPr>
          <w:p>
            <w:r/>
            <w:r>
              <w:rPr>
                <w:b w:val="0"/>
                <w:sz w:val="18"/>
              </w:rPr>
              <w:t>Contenido listo, falta transcribir al formato oficial</w:t>
            </w:r>
          </w:p>
        </w:tc>
        <w:tc>
          <w:tcPr>
            <w:tcW w:type="dxa" w:w="1587"/>
          </w:tcPr>
          <w:p>
            <w:r/>
            <w:r>
              <w:rPr>
                <w:b w:val="0"/>
                <w:sz w:val="18"/>
              </w:rPr>
              <w:t>Parcial — Anexo 4 conviene tenerlo ya para el 7-sep</w:t>
            </w:r>
          </w:p>
        </w:tc>
      </w:tr>
    </w:tbl>
    <w:p/>
    <w:p>
      <w:r>
        <w:br w:type="page"/>
      </w:r>
    </w:p>
    <w:p>
      <w:pPr>
        <w:pStyle w:val="Heading1"/>
      </w:pPr>
      <w:r>
        <w:rPr>
          <w:b/>
          <w:color w:val="08387F"/>
          <w:sz w:val="30"/>
        </w:rPr>
        <w:t>Detalle por pendiente</w:t>
      </w:r>
    </w:p>
    <w:p>
      <w:pPr>
        <w:pStyle w:val="Heading2"/>
      </w:pPr>
      <w:r>
        <w:rPr>
          <w:b/>
          <w:color w:val="0B5ED7"/>
          <w:sz w:val="25"/>
        </w:rPr>
        <w:t xml:space="preserve">0  </w:t>
      </w:r>
      <w:r>
        <w:rPr>
          <w:b/>
          <w:color w:val="0B1220"/>
          <w:sz w:val="25"/>
        </w:rPr>
        <w:t>Arquitectura técnica — YA INTEGRADA Y RESUELTA</w:t>
      </w:r>
    </w:p>
    <w:p>
      <w:r>
        <w:rPr>
          <w:i w:val="0"/>
          <w:color w:val="42506B"/>
          <w:sz w:val="20"/>
        </w:rPr>
        <w:t>La arquitectura de virtualización Sangfor (aSV + aNet, sin HCI completa) y la arquitectura de hardware física recomendada por Cydesys (HPE ProLiant DL380 Gen11, cabina SAN externa MSA2062) quedaron consolidadas en una sola presentación técnica final, lista para incluir en la propuesta del 7 de septiembre.</w:t>
      </w:r>
    </w:p>
    <w:p>
      <w:pPr>
        <w:pStyle w:val="ListBullet"/>
      </w:pPr>
      <w:r>
        <w:rPr>
          <w:b/>
          <w:color w:val="0B1220"/>
          <w:sz w:val="19"/>
        </w:rPr>
        <w:t xml:space="preserve">Acción: </w:t>
      </w:r>
      <w:r>
        <w:rPr>
          <w:color w:val="42506B"/>
          <w:sz w:val="19"/>
        </w:rPr>
        <w:t xml:space="preserve"> ninguna — este punto está resuelto.</w:t>
      </w:r>
    </w:p>
    <w:p>
      <w:pPr>
        <w:spacing w:before="40" w:after="200"/>
        <w:pBdr>
          <w:bottom w:val="single" w:sz="6" w:space="1" w:color="DCE6F5"/>
        </w:pBdr>
      </w:pPr>
    </w:p>
    <w:p>
      <w:pPr>
        <w:pStyle w:val="Heading2"/>
      </w:pPr>
      <w:r>
        <w:rPr>
          <w:b/>
          <w:color w:val="0B5ED7"/>
          <w:sz w:val="25"/>
        </w:rPr>
        <w:t xml:space="preserve">1  </w:t>
      </w:r>
      <w:r>
        <w:rPr>
          <w:b/>
          <w:color w:val="0B1220"/>
          <w:sz w:val="25"/>
        </w:rPr>
        <w:t>Documentación jurídica y financiera de Blue Label Technologies — YA RECIBIDA</w:t>
      </w:r>
    </w:p>
    <w:p>
      <w:r>
        <w:rPr>
          <w:i w:val="0"/>
          <w:color w:val="42506B"/>
          <w:sz w:val="20"/>
        </w:rPr>
        <w:t>Se recibieron: RUT, Cámara de Comercio, estados financieros 2025, certificación bancaria (Davivienda), certificado de Contraloría y de Procuraduría de la empresa y de su representante legal (Camilo Eduardo Gómez Uribe). Esto resuelve el vacío más crítico del checklist anterior.</w:t>
      </w:r>
    </w:p>
    <w:p>
      <w:pPr>
        <w:pStyle w:val="ListBullet"/>
      </w:pPr>
      <w:r>
        <w:rPr>
          <w:b/>
          <w:color w:val="0B1220"/>
          <w:sz w:val="19"/>
        </w:rPr>
        <w:t xml:space="preserve">Pendiente: </w:t>
      </w:r>
      <w:r>
        <w:rPr>
          <w:color w:val="42506B"/>
          <w:sz w:val="19"/>
        </w:rPr>
        <w:t xml:space="preserve"> el RUT fue emitido el 19 de mayo de 2026 y la Cámara de Comercio el mismo día — ambos con antigüedad mayor a la que probablemente exige el TdR (RUT vigente pero conviene reconfirmar el plazo exacto; Cámara de Comercio con límite de 30 días antes del cierre, ya vencida). Solicitar Cámara de Comercio actualizada y confirmar si el RUT necesita reexpedirse.</w:t>
      </w:r>
    </w:p>
    <w:p>
      <w:pPr>
        <w:pStyle w:val="ListBullet"/>
      </w:pPr>
      <w:r>
        <w:rPr>
          <w:b/>
          <w:color w:val="0B1220"/>
          <w:sz w:val="19"/>
        </w:rPr>
        <w:t xml:space="preserve">Pendiente: </w:t>
      </w:r>
      <w:r>
        <w:rPr>
          <w:color w:val="42506B"/>
          <w:sz w:val="19"/>
        </w:rPr>
        <w:t xml:space="preserve"> el archivo de estados financieros no permitió leer el detalle numérico (tabla vacía en la conversión) — revisar el PDF original directamente y confirmar que incluya notas, firma del revisor fiscal (o la salvedad de exención por tamaño de empresa) y, si el TdR lo exige, los estados intermedios 2026.</w:t>
      </w:r>
    </w:p>
    <w:p>
      <w:pPr>
        <w:pStyle w:val="ListBullet"/>
      </w:pPr>
      <w:r>
        <w:rPr>
          <w:b/>
          <w:color w:val="0B1220"/>
          <w:sz w:val="19"/>
        </w:rPr>
        <w:t xml:space="preserve">Pendiente: </w:t>
      </w:r>
      <w:r>
        <w:rPr>
          <w:color w:val="42506B"/>
          <w:sz w:val="19"/>
        </w:rPr>
        <w:t xml:space="preserve"> el archivo de la cédula del representante legal llegó vacío — reenviar el escaneo o PDF original.</w:t>
      </w:r>
    </w:p>
    <w:p>
      <w:pPr>
        <w:spacing w:before="40" w:after="200"/>
        <w:pBdr>
          <w:bottom w:val="single" w:sz="6" w:space="1" w:color="DCE6F5"/>
        </w:pBdr>
      </w:pPr>
    </w:p>
    <w:p>
      <w:pPr>
        <w:pStyle w:val="Heading2"/>
      </w:pPr>
      <w:r>
        <w:rPr>
          <w:b/>
          <w:color w:val="0B5ED7"/>
          <w:sz w:val="25"/>
        </w:rPr>
        <w:t xml:space="preserve">2  </w:t>
      </w:r>
      <w:r>
        <w:rPr>
          <w:b/>
          <w:color w:val="0B1220"/>
          <w:sz w:val="25"/>
        </w:rPr>
        <w:t>Cámara de Comercio — vigencia vencida (BLT y Cydesys)</w:t>
      </w:r>
    </w:p>
    <w:p>
      <w:r>
        <w:rPr>
          <w:i w:val="0"/>
          <w:color w:val="42506B"/>
          <w:sz w:val="20"/>
        </w:rPr>
        <w:t>Tanto la Cámara de Comercio de Blue Label Technologies (expedida 19-may-2026) como la de Cydesys/Cyberware (expedida 11-ago-2026) exceden el límite de 30 días calendario antes de la fecha de cierre que exige el TdR (16-sep-2026).</w:t>
      </w:r>
    </w:p>
    <w:p>
      <w:pPr>
        <w:pStyle w:val="ListBullet"/>
      </w:pPr>
      <w:r>
        <w:rPr>
          <w:b/>
          <w:color w:val="0B1220"/>
          <w:sz w:val="19"/>
        </w:rPr>
        <w:t xml:space="preserve">Acción: </w:t>
      </w:r>
      <w:r>
        <w:rPr>
          <w:color w:val="42506B"/>
          <w:sz w:val="19"/>
        </w:rPr>
        <w:t xml:space="preserve"> solicitar certificados de Cámara de Comercio actualizados para ambas empresas, expedidos dentro de los 30 días previos al cierre — este trámite es rápido (se puede generar el mismo día en línea) y debe hacerse lo más cerca posible de la fecha de radicación.</w:t>
      </w:r>
    </w:p>
    <w:p>
      <w:pPr>
        <w:spacing w:before="40" w:after="200"/>
        <w:pBdr>
          <w:bottom w:val="single" w:sz="6" w:space="1" w:color="DCE6F5"/>
        </w:pBdr>
      </w:pPr>
    </w:p>
    <w:p>
      <w:pPr>
        <w:pStyle w:val="Heading2"/>
      </w:pPr>
      <w:r>
        <w:rPr>
          <w:b/>
          <w:color w:val="0B5ED7"/>
          <w:sz w:val="25"/>
        </w:rPr>
        <w:t xml:space="preserve">3  </w:t>
      </w:r>
      <w:r>
        <w:rPr>
          <w:b/>
          <w:color w:val="0B1220"/>
          <w:sz w:val="25"/>
        </w:rPr>
        <w:t>Certificados de experiencia y referencias comerciales — RESUELTO CON NOTA</w:t>
      </w:r>
    </w:p>
    <w:p>
      <w:r>
        <w:rPr>
          <w:i w:val="0"/>
          <w:color w:val="42506B"/>
          <w:sz w:val="20"/>
        </w:rPr>
        <w:t>Se recibieron tres cartas de referencia comercial de Blue Label Technologies: Medisinu IPS (relación desde sep-2024), Indigo Technologies (relación desde 2024, firewalls Fortigate NGFW y protección de endpoints) y Cydesys/Cyberware (relación desde 2024, endpoints especializados). Esto cumple el mínimo de 3 referencias de los últimos 2 años que exige el TdR.</w:t>
      </w:r>
    </w:p>
    <w:p>
      <w:pPr>
        <w:pStyle w:val="ListBullet"/>
      </w:pPr>
      <w:r>
        <w:rPr>
          <w:b/>
          <w:color w:val="0B1220"/>
          <w:sz w:val="19"/>
        </w:rPr>
        <w:t xml:space="preserve">Nota importante: </w:t>
      </w:r>
      <w:r>
        <w:rPr>
          <w:color w:val="42506B"/>
          <w:sz w:val="19"/>
        </w:rPr>
        <w:t xml:space="preserve"> las tres referencias documentan experiencia en ciberseguridad (firewalls, endpoints) y no en virtualización/HCI/modernización de datacenter — el objeto específico del contrato ECI. Confirmar si el TdR exige que la experiencia sea del mismo tipo de proyecto o si basta con experiencia comercial general de la empresa; si exige coincidencia de alcance, conviene complementar con experiencia de Cydesys en implementaciones Sangfor/HCI específicamente.</w:t>
      </w:r>
    </w:p>
    <w:p>
      <w:pPr>
        <w:pStyle w:val="ListBullet"/>
      </w:pPr>
      <w:r>
        <w:rPr>
          <w:b/>
          <w:color w:val="0B1220"/>
          <w:sz w:val="19"/>
        </w:rPr>
        <w:t xml:space="preserve">Nota: </w:t>
      </w:r>
      <w:r>
        <w:rPr>
          <w:color w:val="42506B"/>
          <w:sz w:val="19"/>
        </w:rPr>
        <w:t xml:space="preserve"> ninguna de las tres cartas incluye el valor económico del contrato ni el alcance detallado que pide el TdR (objeto, alcance, valor, fecha de ejecución) — son cartas de recomendación genéricas, no certificaciones de experiencia en el formato específico. Evaluar si hay que pedir un formato más detallado a estos mismos clientes.</w:t>
      </w:r>
    </w:p>
    <w:p>
      <w:pPr>
        <w:spacing w:before="40" w:after="200"/>
        <w:pBdr>
          <w:bottom w:val="single" w:sz="6" w:space="1" w:color="DCE6F5"/>
        </w:pBdr>
      </w:pPr>
    </w:p>
    <w:p>
      <w:pPr>
        <w:pStyle w:val="Heading2"/>
      </w:pPr>
      <w:r>
        <w:rPr>
          <w:b/>
          <w:color w:val="0B5ED7"/>
          <w:sz w:val="25"/>
        </w:rPr>
        <w:t xml:space="preserve">4  </w:t>
      </w:r>
      <w:r>
        <w:rPr>
          <w:b/>
          <w:color w:val="0B1220"/>
          <w:sz w:val="25"/>
        </w:rPr>
        <w:t>Compromiso de Integridad y Anticorrupción — Anexo 5/6</w:t>
      </w:r>
    </w:p>
    <w:p>
      <w:r>
        <w:rPr>
          <w:i w:val="0"/>
          <w:color w:val="42506B"/>
          <w:sz w:val="20"/>
        </w:rPr>
        <w:t>El documento existe en el expediente pero como plantilla en blanco: sin diligenciar, sin firma del representante legal ni fecha.</w:t>
      </w:r>
    </w:p>
    <w:p>
      <w:pPr>
        <w:pStyle w:val="ListBullet"/>
      </w:pPr>
      <w:r>
        <w:rPr>
          <w:b/>
          <w:color w:val="0B1220"/>
          <w:sz w:val="19"/>
        </w:rPr>
        <w:t xml:space="preserve">Acción: </w:t>
      </w:r>
      <w:r>
        <w:rPr>
          <w:color w:val="42506B"/>
          <w:sz w:val="19"/>
        </w:rPr>
        <w:t xml:space="preserve"> diligenciar y firmar el Anexo con el representante legal de cada integrante de la Unión Temporal.</w:t>
      </w:r>
    </w:p>
    <w:p>
      <w:pPr>
        <w:spacing w:before="40" w:after="200"/>
        <w:pBdr>
          <w:bottom w:val="single" w:sz="6" w:space="1" w:color="DCE6F5"/>
        </w:pBdr>
      </w:pPr>
    </w:p>
    <w:p>
      <w:pPr>
        <w:pStyle w:val="Heading2"/>
      </w:pPr>
      <w:r>
        <w:rPr>
          <w:b/>
          <w:color w:val="0B5ED7"/>
          <w:sz w:val="25"/>
        </w:rPr>
        <w:t xml:space="preserve">5  </w:t>
      </w:r>
      <w:r>
        <w:rPr>
          <w:b/>
          <w:color w:val="0B1220"/>
          <w:sz w:val="25"/>
        </w:rPr>
        <w:t>Póliza de seriedad de la oferta (10% del contrato)</w:t>
      </w:r>
    </w:p>
    <w:p>
      <w:r>
        <w:rPr>
          <w:i w:val="0"/>
          <w:color w:val="42506B"/>
          <w:sz w:val="20"/>
        </w:rPr>
        <w:t>El TdR la exige de forma obligatoria como anexo de la propuesta final. No hay ningún documento de póliza en el expediente — ni siquiera una cotización de la aseguradora.</w:t>
      </w:r>
    </w:p>
    <w:p>
      <w:pPr>
        <w:pStyle w:val="ListBullet"/>
      </w:pPr>
      <w:r>
        <w:rPr>
          <w:b/>
          <w:color w:val="0B1220"/>
          <w:sz w:val="19"/>
        </w:rPr>
        <w:t xml:space="preserve">Acción: </w:t>
      </w:r>
      <w:r>
        <w:rPr>
          <w:color w:val="42506B"/>
          <w:sz w:val="19"/>
        </w:rPr>
        <w:t xml:space="preserve"> cotizar la póliza de seriedad de la oferta con la aseguradora, a nombre de la Unión Temporal completa (BLT + Cydesys) como un solo tomador — este trámite puede tardar varios días, iniciar cuanto antes.</w:t>
      </w:r>
    </w:p>
    <w:p>
      <w:pPr>
        <w:spacing w:before="40" w:after="200"/>
        <w:pBdr>
          <w:bottom w:val="single" w:sz="6" w:space="1" w:color="DCE6F5"/>
        </w:pBdr>
      </w:pPr>
    </w:p>
    <w:p>
      <w:pPr>
        <w:pStyle w:val="Heading2"/>
      </w:pPr>
      <w:r>
        <w:rPr>
          <w:b/>
          <w:color w:val="0B5ED7"/>
          <w:sz w:val="25"/>
        </w:rPr>
        <w:t xml:space="preserve">6  </w:t>
      </w:r>
      <w:r>
        <w:rPr>
          <w:b/>
          <w:color w:val="0B1220"/>
          <w:sz w:val="25"/>
        </w:rPr>
        <w:t>Carta de aval del fabricante</w:t>
      </w:r>
    </w:p>
    <w:p>
      <w:r>
        <w:rPr>
          <w:i w:val="0"/>
          <w:color w:val="42506B"/>
          <w:sz w:val="20"/>
        </w:rPr>
        <w:t>El TdR exige un documento formal del fabricante (Sangfor, y HPE según la opción de hardware recomendada) que avale al proponente/implementador como canal autorizado. No existe esta carta en el expediente.</w:t>
      </w:r>
    </w:p>
    <w:p>
      <w:pPr>
        <w:pStyle w:val="ListBullet"/>
      </w:pPr>
      <w:r>
        <w:rPr>
          <w:b/>
          <w:color w:val="0B1220"/>
          <w:sz w:val="19"/>
        </w:rPr>
        <w:t xml:space="preserve">Acción: </w:t>
      </w:r>
      <w:r>
        <w:rPr>
          <w:color w:val="42506B"/>
          <w:sz w:val="19"/>
        </w:rPr>
        <w:t xml:space="preserve"> solicitar la carta de aval a Sangfor Colombia (para el software) y a HPE (para el hardware de la Opción A recomendada).</w:t>
      </w:r>
    </w:p>
    <w:p>
      <w:pPr>
        <w:spacing w:before="40" w:after="200"/>
        <w:pBdr>
          <w:bottom w:val="single" w:sz="6" w:space="1" w:color="DCE6F5"/>
        </w:pBdr>
      </w:pPr>
    </w:p>
    <w:p>
      <w:pPr>
        <w:pStyle w:val="Heading2"/>
      </w:pPr>
      <w:r>
        <w:rPr>
          <w:b/>
          <w:color w:val="0B5ED7"/>
          <w:sz w:val="25"/>
        </w:rPr>
        <w:t xml:space="preserve">7  </w:t>
      </w:r>
      <w:r>
        <w:rPr>
          <w:b/>
          <w:color w:val="0B1220"/>
          <w:sz w:val="25"/>
        </w:rPr>
        <w:t>Borrador de contrato</w:t>
      </w:r>
    </w:p>
    <w:p>
      <w:r>
        <w:rPr>
          <w:i w:val="0"/>
          <w:color w:val="42506B"/>
          <w:sz w:val="20"/>
        </w:rPr>
        <w:t>El TdR pide incluir en la propuesta un borrador de contrato con los productos y servicios ofrecidos. Este documento no está estructurado todavía — aplica probablemente a la propuesta final del 16-sep, no a la técnica del 7-sep.</w:t>
      </w:r>
    </w:p>
    <w:p>
      <w:pPr>
        <w:pStyle w:val="ListBullet"/>
      </w:pPr>
      <w:r>
        <w:rPr>
          <w:b/>
          <w:color w:val="0B1220"/>
          <w:sz w:val="19"/>
        </w:rPr>
        <w:t xml:space="preserve">Acción: </w:t>
      </w:r>
      <w:r>
        <w:rPr>
          <w:color w:val="42506B"/>
          <w:sz w:val="19"/>
        </w:rPr>
        <w:t xml:space="preserve"> redactar el borrador de contrato una vez esté cerrado el alcance económico sobre la Opción A (HPE).</w:t>
      </w:r>
    </w:p>
    <w:p>
      <w:pPr>
        <w:spacing w:before="40" w:after="200"/>
        <w:pBdr>
          <w:bottom w:val="single" w:sz="6" w:space="1" w:color="DCE6F5"/>
        </w:pBdr>
      </w:pPr>
    </w:p>
    <w:p>
      <w:pPr>
        <w:pStyle w:val="Heading2"/>
      </w:pPr>
      <w:r>
        <w:rPr>
          <w:b/>
          <w:color w:val="0B5ED7"/>
          <w:sz w:val="25"/>
        </w:rPr>
        <w:t xml:space="preserve">8  </w:t>
      </w:r>
      <w:r>
        <w:rPr>
          <w:b/>
          <w:color w:val="0B1220"/>
          <w:sz w:val="25"/>
        </w:rPr>
        <w:t>Anexo 2 (TCO a 5 años) y Anexo 4 (cuadro técnico) sin diligenciar</w:t>
      </w:r>
    </w:p>
    <w:p>
      <w:r>
        <w:rPr>
          <w:i w:val="0"/>
          <w:color w:val="42506B"/>
          <w:sz w:val="20"/>
        </w:rPr>
        <w:t>Ambos anexos existen en el expediente únicamente como plantillas vacías. El contenido técnico para el Anexo 4 ya existe — solo falta transcribirlo al formato oficial, lo cual conviene tener listo para el 7-sep. El Anexo 2 requiere las cifras de TCO, que dependen de la opción de hardware finalmente elegida — aplica al 16-sep.</w:t>
      </w:r>
    </w:p>
    <w:p>
      <w:pPr>
        <w:pStyle w:val="ListBullet"/>
      </w:pPr>
      <w:r>
        <w:rPr>
          <w:b/>
          <w:color w:val="0B1220"/>
          <w:sz w:val="19"/>
        </w:rPr>
        <w:t xml:space="preserve">Acción: </w:t>
      </w:r>
      <w:r>
        <w:rPr>
          <w:color w:val="42506B"/>
          <w:sz w:val="19"/>
        </w:rPr>
        <w:t xml:space="preserve"> transcribir el cumplimiento técnico ya documentado al formato oficial del Anexo 4 antes del 7-sep, como respaldo de la propuesta técnica.</w:t>
      </w:r>
    </w:p>
    <w:p>
      <w:r>
        <w:br w:type="page"/>
      </w:r>
    </w:p>
    <w:p>
      <w:pPr>
        <w:pStyle w:val="Heading1"/>
      </w:pPr>
      <w:r>
        <w:rPr>
          <w:b/>
          <w:color w:val="08387F"/>
          <w:sz w:val="30"/>
        </w:rPr>
        <w:t>Lo que SÍ está resuelto</w:t>
      </w:r>
    </w:p>
    <w:p>
      <w:pPr>
        <w:pStyle w:val="ListBullet"/>
      </w:pPr>
      <w:r>
        <w:rPr>
          <w:color w:val="42506B"/>
          <w:sz w:val="19"/>
        </w:rPr>
        <w:t>Arquitectura de virtualización Sangfor (aSV + aNet) sobre clúster de 4 nodos, alcance confirmado con la ECI — documentado en la Solución técnica.</w:t>
      </w:r>
    </w:p>
    <w:p>
      <w:pPr>
        <w:pStyle w:val="ListBullet"/>
      </w:pPr>
      <w:r>
        <w:rPr>
          <w:color w:val="42506B"/>
          <w:sz w:val="19"/>
        </w:rPr>
        <w:t>Arquitectura de hardware HPE ProLiant DL380 Gen11 recomendada, con Opción Dell como alternativa documentada con su riesgo de cumplimiento.</w:t>
      </w:r>
    </w:p>
    <w:p>
      <w:pPr>
        <w:pStyle w:val="ListBullet"/>
      </w:pPr>
      <w:r>
        <w:rPr>
          <w:color w:val="42506B"/>
          <w:sz w:val="19"/>
        </w:rPr>
        <w:t>Presentación técnica final consolidada (Sangfor + Cydesys HPE) generada, con identidad visual editorial, lista para incluir en la propuesta del 7 de septiembre.</w:t>
      </w:r>
    </w:p>
    <w:p>
      <w:pPr>
        <w:pStyle w:val="ListBullet"/>
      </w:pPr>
      <w:r>
        <w:rPr>
          <w:color w:val="42506B"/>
          <w:sz w:val="19"/>
        </w:rPr>
        <w:t>Estructura maestra de la propuesta técnica, mapeada contra los 7 criterios de evaluación del TdR.</w:t>
      </w:r>
    </w:p>
    <w:p>
      <w:pPr>
        <w:pStyle w:val="ListBullet"/>
      </w:pPr>
      <w:r>
        <w:rPr>
          <w:color w:val="42506B"/>
          <w:sz w:val="19"/>
        </w:rPr>
        <w:t>Acuerdos de Nivel de Servicio (ANS/SLA) definidos: clasificación de incidentes, tiempos de respuesta y escalamiento.</w:t>
      </w:r>
    </w:p>
    <w:p>
      <w:pPr>
        <w:pStyle w:val="ListBullet"/>
      </w:pPr>
      <w:r>
        <w:rPr>
          <w:color w:val="42506B"/>
          <w:sz w:val="19"/>
        </w:rPr>
        <w:t>Cronograma vigente y respuestas oficiales de la ECI ya incorporadas.</w:t>
      </w:r>
    </w:p>
    <w:p>
      <w:pPr>
        <w:pStyle w:val="ListBullet"/>
      </w:pPr>
      <w:r>
        <w:rPr>
          <w:color w:val="42506B"/>
          <w:sz w:val="19"/>
        </w:rPr>
        <w:t>Recomendación técnica clara y documentada entre las dos rutas de hardware (HPE sin riesgo vs. Dell con riesgo de cumplimiento).</w:t>
      </w:r>
    </w:p>
    <w:p>
      <w:pPr>
        <w:pStyle w:val="ListBullet"/>
      </w:pPr>
      <w:r>
        <w:rPr>
          <w:color w:val="42506B"/>
          <w:sz w:val="19"/>
        </w:rPr>
        <w:t>RUT, Cámara de Comercio, estados financieros, certificación bancaria y certificados de Contraloría/Procuraduría de Blue Label Technologies y su representante legal recibidos.</w:t>
      </w:r>
    </w:p>
    <w:p>
      <w:pPr>
        <w:pStyle w:val="ListBullet"/>
      </w:pPr>
      <w:r>
        <w:rPr>
          <w:color w:val="42506B"/>
          <w:sz w:val="19"/>
        </w:rPr>
        <w:t>Tres cartas de experiencia comercial de Blue Label Technologies (Medisinu, Indigo Technologies, Cydesys/Cyberware) — cumple el mínimo de 3 referencias.</w:t>
      </w:r>
    </w:p>
    <w:p/>
    <w:p>
      <w:r>
        <w:rPr>
          <w:i/>
          <w:color w:val="42506B"/>
          <w:sz w:val="16"/>
        </w:rPr>
        <w:t>Blue Label Technologies · Cydesys · Escuela Colombiana de Ingeniería Julio Garavito — documento de trabajo interno, actualizado el 5 de septiembre de 2026.</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12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