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8387F"/>
          <w:sz w:val="60"/>
        </w:rPr>
        <w:t>PROPUESTA TÉCNICA</w:t>
      </w:r>
    </w:p>
    <w:p>
      <w:pPr>
        <w:jc w:val="center"/>
      </w:pPr>
      <w:r>
        <w:rPr>
          <w:color w:val="42506B"/>
          <w:sz w:val="30"/>
        </w:rPr>
        <w:t>Modernización de la Plataforma de Procesamiento y Almacenamiento de Datos</w:t>
      </w:r>
    </w:p>
    <w:p>
      <w:pPr>
        <w:jc w:val="center"/>
      </w:pPr>
      <w:r>
        <w:rPr>
          <w:color w:val="42506B"/>
          <w:sz w:val="30"/>
        </w:rPr>
        <w:t>del Datacenter Institucional</w:t>
      </w:r>
    </w:p>
    <w:p>
      <w:pPr>
        <w:jc w:val="center"/>
      </w:pPr>
      <w:r>
        <w:rPr>
          <w:b/>
          <w:sz w:val="26"/>
        </w:rPr>
        <w:br/>
        <w:t>Escuela Colombiana de Ingeniería Julio Garavito</w:t>
      </w:r>
    </w:p>
    <w:p>
      <w:pPr>
        <w:jc w:val="center"/>
      </w:pPr>
      <w:r>
        <w:rPr>
          <w:color w:val="42506B"/>
          <w:sz w:val="22"/>
        </w:rPr>
        <w:br/>
        <w:br/>
        <w:t>Presentada por la Unión Temporal:</w:t>
      </w:r>
    </w:p>
    <w:p>
      <w:pPr>
        <w:jc w:val="center"/>
      </w:pPr>
      <w:r>
        <w:rPr>
          <w:b/>
          <w:color w:val="0B5ED7"/>
          <w:sz w:val="32"/>
        </w:rPr>
        <w:t>Blue Label Technologies + Cydesys</w:t>
      </w:r>
    </w:p>
    <w:p>
      <w:pPr>
        <w:jc w:val="center"/>
      </w:pPr>
      <w:r>
        <w:rPr>
          <w:color w:val="42506B"/>
          <w:sz w:val="20"/>
        </w:rPr>
        <w:br/>
        <w:br/>
        <w:t>Septiembre de 2026 · Referencia: TdR versión 31 de agosto de 2026</w:t>
      </w:r>
    </w:p>
    <w:p>
      <w:pPr>
        <w:jc w:val="center"/>
      </w:pPr>
      <w:r>
        <w:rPr>
          <w:b/>
          <w:color w:val="A32F2F"/>
          <w:sz w:val="18"/>
        </w:rPr>
        <w:br/>
        <w:br/>
        <w:t>DOCUMENTO DE TRABAJO — VERIFICAR CHECKLIST DE HABILITANTES ANTES DE RADICAR (ver Capítulo 1)</w:t>
      </w:r>
    </w:p>
    <w:p>
      <w:r>
        <w:br w:type="page"/>
      </w:r>
    </w:p>
    <w:p>
      <w:pPr>
        <w:pStyle w:val="Heading1"/>
      </w:pPr>
      <w:r>
        <w:rPr>
          <w:color w:val="08387F"/>
          <w:sz w:val="36"/>
        </w:rPr>
        <w:t>Contenido</w:t>
      </w:r>
    </w:p>
    <w:p>
      <w:r>
        <w:rPr>
          <w:b w:val="0"/>
          <w:i w:val="0"/>
          <w:sz w:val="22"/>
        </w:rPr>
        <w:t>0. Carta de presentación y datos del proponente</w:t>
      </w:r>
    </w:p>
    <w:p>
      <w:r>
        <w:rPr>
          <w:b w:val="0"/>
          <w:i w:val="0"/>
          <w:sz w:val="22"/>
        </w:rPr>
        <w:t>1. Requisitos habilitantes</w:t>
      </w:r>
    </w:p>
    <w:p>
      <w:r>
        <w:rPr>
          <w:b w:val="0"/>
          <w:i w:val="0"/>
          <w:sz w:val="22"/>
        </w:rPr>
        <w:t>2. Antecedentes y experiencia — Quiénes somos</w:t>
      </w:r>
    </w:p>
    <w:p>
      <w:r>
        <w:rPr>
          <w:b w:val="0"/>
          <w:i w:val="0"/>
          <w:sz w:val="22"/>
        </w:rPr>
        <w:t>3. Arquitectura de la solución técnica (30%)</w:t>
      </w:r>
    </w:p>
    <w:p>
      <w:r>
        <w:rPr>
          <w:b w:val="0"/>
          <w:i w:val="0"/>
          <w:sz w:val="22"/>
        </w:rPr>
        <w:t>4. Continuidad y estrategia de migración (5%)</w:t>
      </w:r>
    </w:p>
    <w:p>
      <w:r>
        <w:rPr>
          <w:b w:val="0"/>
          <w:i w:val="0"/>
          <w:sz w:val="22"/>
        </w:rPr>
        <w:t>5. Alta disponibilidad, recuperación ante desastres y seguridad</w:t>
      </w:r>
    </w:p>
    <w:p>
      <w:r>
        <w:rPr>
          <w:b w:val="0"/>
          <w:i w:val="0"/>
          <w:sz w:val="22"/>
        </w:rPr>
        <w:t>6. Acuerdos de Nivel de Servicio — ANS/SLA (15%)</w:t>
      </w:r>
    </w:p>
    <w:p>
      <w:r>
        <w:rPr>
          <w:b w:val="0"/>
          <w:i w:val="0"/>
          <w:sz w:val="22"/>
        </w:rPr>
        <w:t>7. Prueba de Concepto — PoC (15%)</w:t>
      </w:r>
    </w:p>
    <w:p>
      <w:r>
        <w:rPr>
          <w:b w:val="0"/>
          <w:i w:val="0"/>
          <w:sz w:val="22"/>
        </w:rPr>
        <w:t>8. Experiencia del proponente (10%)</w:t>
      </w:r>
    </w:p>
    <w:p>
      <w:r>
        <w:rPr>
          <w:b w:val="0"/>
          <w:i w:val="0"/>
          <w:sz w:val="22"/>
        </w:rPr>
        <w:t>9. Modelo comercial y valores agregados (5%)</w:t>
      </w:r>
    </w:p>
    <w:p>
      <w:r>
        <w:rPr>
          <w:b w:val="0"/>
          <w:i w:val="0"/>
          <w:sz w:val="22"/>
        </w:rPr>
        <w:t>10. TCO a 5 años y Anexo 2 (20%)</w:t>
      </w:r>
    </w:p>
    <w:p>
      <w:r>
        <w:rPr>
          <w:b w:val="0"/>
          <w:i w:val="0"/>
          <w:sz w:val="22"/>
        </w:rPr>
        <w:t>11. Anexos de soporte</w:t>
      </w:r>
    </w:p>
    <w:p>
      <w:r>
        <w:rPr>
          <w:b w:val="0"/>
          <w:i w:val="0"/>
          <w:sz w:val="22"/>
        </w:rPr>
        <w:t>12. Resumen de riesgos y alertas de cierre</w:t>
      </w:r>
    </w:p>
    <w:p>
      <w:r>
        <w:br w:type="page"/>
      </w:r>
    </w:p>
    <w:p>
      <w:pPr>
        <w:pStyle w:val="Heading1"/>
      </w:pPr>
      <w:r>
        <w:rPr>
          <w:color w:val="08387F"/>
          <w:sz w:val="36"/>
        </w:rPr>
        <w:t>0. Carta de presentación y datos del proponente</w:t>
      </w:r>
    </w:p>
    <w:p>
      <w:r>
        <w:rPr>
          <w:b w:val="0"/>
          <w:i w:val="0"/>
          <w:sz w:val="22"/>
        </w:rPr>
        <w:t>La Unión Temporal conformada por Blue Label Technologies S.A.S. y Cydesys (en adelante, "la Unión Temporal" o "el proponente") presenta a la Escuela Colombiana de Ingeniería Julio Garavito la siguiente propuesta técnica para la modernización de la plataforma de procesamiento y almacenamiento de datos del datacenter institucional, en respuesta a los Términos de Referencia (TdR) del 31 de agosto de 2026 y sus anexos.</w:t>
      </w:r>
    </w:p>
    <w:p>
      <w:r>
        <w:rPr>
          <w:b w:val="0"/>
          <w:i w:val="0"/>
          <w:sz w:val="22"/>
        </w:rPr>
        <w:t>Conforme a la respuesta oficial de la ECI del 2 de septiembre de 2026, la Unión Temporal declara: responsabilidad solidaria total entre sus integrantes, un único representante y vocero ante la Escuela, garantías del numeral 3.5 unificadas a nombre de ambos integrantes, y un solo esquema de soporte y Acuerdo de Nivel de Servicio sin fragmentar por componente.</w:t>
      </w:r>
    </w:p>
    <w:p>
      <w:r>
        <w:rPr>
          <w:b/>
          <w:color w:val="A32F2F"/>
        </w:rPr>
        <w:t xml:space="preserve">⚠ ALERTA — </w:t>
      </w:r>
      <w:r>
        <w:rPr>
          <w:b w:val="0"/>
          <w:color w:val="A32F2F"/>
        </w:rPr>
        <w:t>Falta formalizar por escrito el acuerdo de Unión Temporal (documento firmado por los representantes legales de ambas empresas) con las condiciones exactas exigidas por la ECI. Ver Capítulo 12.</w:t>
      </w:r>
    </w:p>
    <w:p>
      <w:r>
        <w:rPr>
          <w:b/>
          <w:color w:val="A32F2F"/>
        </w:rPr>
        <w:t xml:space="preserve">⚠ ALERTA — </w:t>
      </w:r>
      <w:r>
        <w:rPr>
          <w:b w:val="0"/>
          <w:color w:val="A32F2F"/>
        </w:rPr>
        <w:t>Verificado en los documentos de trabajo: circulan dos versiones de cronograma. La versión vigente y única válida es el TdR del 31 de agosto de 2026 (propuesta técnica el 7-sep, final el 16-sep). Un archivo de TdR anterior indicaba el 2-sep como cierre de propuesta técnica — descartar esa versión por completo para evitar errores de planificación.</w:t>
      </w:r>
    </w:p>
    <w:p>
      <w:r>
        <w:rPr>
          <w:b/>
          <w:i w:val="0"/>
          <w:sz w:val="22"/>
        </w:rPr>
        <w:t xml:space="preserve">Objeto de la propuesta: </w:t>
      </w:r>
      <w:r>
        <w:t>suministro, implementación y soporte de una plataforma de virtualización de cómputo y red (Sangfor aSV + aNet) sobre infraestructura física de servidores de última generación, para el clúster de virtualización del datacenter de la ECI.</w:t>
      </w:r>
    </w:p>
    <w:p>
      <w:r>
        <w:rPr>
          <w:b/>
          <w:i w:val="0"/>
          <w:sz w:val="22"/>
        </w:rPr>
        <w:t xml:space="preserve">Vigencia de la oferta: </w:t>
      </w:r>
      <w:r>
        <w:t>la que determine el TdR a partir de la fecha de radicación de la propuesta final (16 de septiembre de 2026).</w:t>
      </w:r>
    </w:p>
    <w:p>
      <w:r>
        <w:br w:type="page"/>
      </w:r>
    </w:p>
    <w:p>
      <w:pPr>
        <w:pStyle w:val="Heading1"/>
      </w:pPr>
      <w:r>
        <w:rPr>
          <w:color w:val="08387F"/>
          <w:sz w:val="36"/>
        </w:rPr>
        <w:t>1. Requisitos habilitantes</w:t>
      </w:r>
    </w:p>
    <w:p>
      <w:r>
        <w:rPr>
          <w:b w:val="0"/>
          <w:i w:val="0"/>
          <w:sz w:val="22"/>
        </w:rPr>
        <w:t>Resumen de estado de los requisitos jurídicos, financieros y de experiencia mínima exigidos por el TdR, por integrante de la Unión Temporal. Estado verificado el 5 de septiembre de 2026 (actualizado con los documentos de BLT renovados en agosto de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8387F"/>
          </w:tcPr>
          <w:p>
            <w:r/>
            <w:r>
              <w:rPr>
                <w:b/>
                <w:color w:val="FFFFFF"/>
                <w:sz w:val="19"/>
              </w:rPr>
              <w:t>Requisito</w:t>
            </w:r>
          </w:p>
        </w:tc>
        <w:tc>
          <w:tcPr>
            <w:tcW w:type="dxa" w:w="2160"/>
            <w:shd w:fill="08387F"/>
          </w:tcPr>
          <w:p>
            <w:r/>
            <w:r>
              <w:rPr>
                <w:b/>
                <w:color w:val="FFFFFF"/>
                <w:sz w:val="19"/>
              </w:rPr>
              <w:t>BLT</w:t>
            </w:r>
          </w:p>
        </w:tc>
        <w:tc>
          <w:tcPr>
            <w:tcW w:type="dxa" w:w="2160"/>
            <w:shd w:fill="08387F"/>
          </w:tcPr>
          <w:p>
            <w:r/>
            <w:r>
              <w:rPr>
                <w:b/>
                <w:color w:val="FFFFFF"/>
                <w:sz w:val="19"/>
              </w:rPr>
              <w:t>Cydesys</w:t>
            </w:r>
          </w:p>
        </w:tc>
        <w:tc>
          <w:tcPr>
            <w:tcW w:type="dxa" w:w="2160"/>
            <w:shd w:fill="08387F"/>
          </w:tcPr>
          <w:p>
            <w:r/>
            <w:r>
              <w:rPr>
                <w:b/>
                <w:color w:val="FFFFFF"/>
                <w:sz w:val="19"/>
              </w:rPr>
              <w:t>Bloqueante 7-sep</w:t>
            </w:r>
          </w:p>
        </w:tc>
      </w:tr>
      <w:tr>
        <w:tc>
          <w:tcPr>
            <w:tcW w:type="dxa" w:w="2160"/>
          </w:tcPr>
          <w:p>
            <w:r/>
            <w:r>
              <w:rPr>
                <w:sz w:val="19"/>
              </w:rPr>
              <w:t>RUT</w:t>
            </w:r>
          </w:p>
        </w:tc>
        <w:tc>
          <w:tcPr>
            <w:tcW w:type="dxa" w:w="2160"/>
          </w:tcPr>
          <w:p>
            <w:r/>
            <w:r>
              <w:rPr>
                <w:b/>
                <w:color w:val="12805A"/>
                <w:sz w:val="19"/>
              </w:rPr>
              <w:t>Renovado (26-ago-2026)</w:t>
            </w:r>
          </w:p>
        </w:tc>
        <w:tc>
          <w:tcPr>
            <w:tcW w:type="dxa" w:w="2160"/>
          </w:tcPr>
          <w:p>
            <w:r/>
            <w:r>
              <w:rPr>
                <w:b/>
                <w:color w:val="12805A"/>
                <w:sz w:val="19"/>
              </w:rPr>
              <w:t>Actualizado (11-ago-2026) — verificado</w:t>
            </w:r>
          </w:p>
        </w:tc>
        <w:tc>
          <w:tcPr>
            <w:tcW w:type="dxa" w:w="2160"/>
          </w:tcPr>
          <w:p>
            <w:r/>
            <w:r>
              <w:rPr>
                <w:b/>
                <w:color w:val="12805A"/>
                <w:sz w:val="19"/>
              </w:rPr>
              <w:t>No</w:t>
            </w:r>
          </w:p>
        </w:tc>
      </w:tr>
      <w:tr>
        <w:tc>
          <w:tcPr>
            <w:tcW w:type="dxa" w:w="2160"/>
          </w:tcPr>
          <w:p>
            <w:r/>
            <w:r>
              <w:rPr>
                <w:sz w:val="19"/>
              </w:rPr>
              <w:t>Cámara de Comercio (&lt; 30 días)</w:t>
            </w:r>
          </w:p>
        </w:tc>
        <w:tc>
          <w:tcPr>
            <w:tcW w:type="dxa" w:w="2160"/>
          </w:tcPr>
          <w:p>
            <w:r/>
            <w:r>
              <w:rPr>
                <w:b/>
                <w:color w:val="12805A"/>
                <w:sz w:val="19"/>
              </w:rPr>
              <w:t>Renovada (26-ago-2026) — vigente</w:t>
            </w:r>
          </w:p>
        </w:tc>
        <w:tc>
          <w:tcPr>
            <w:tcW w:type="dxa" w:w="2160"/>
          </w:tcPr>
          <w:p>
            <w:r/>
            <w:r>
              <w:rPr>
                <w:b/>
                <w:color w:val="A32F2F"/>
                <w:sz w:val="19"/>
              </w:rPr>
              <w:t>Vencida (11-ago-2026) — renovar</w:t>
            </w:r>
          </w:p>
        </w:tc>
        <w:tc>
          <w:tcPr>
            <w:tcW w:type="dxa" w:w="2160"/>
          </w:tcPr>
          <w:p>
            <w:r/>
            <w:r>
              <w:rPr>
                <w:b/>
                <w:color w:val="A32F2F"/>
                <w:sz w:val="19"/>
              </w:rPr>
              <w:t>Solo Cydesys</w:t>
            </w:r>
          </w:p>
        </w:tc>
      </w:tr>
      <w:tr>
        <w:tc>
          <w:tcPr>
            <w:tcW w:type="dxa" w:w="2160"/>
          </w:tcPr>
          <w:p>
            <w:r/>
            <w:r>
              <w:rPr>
                <w:sz w:val="19"/>
              </w:rPr>
              <w:t>Estados financieros 2025</w:t>
            </w:r>
          </w:p>
        </w:tc>
        <w:tc>
          <w:tcPr>
            <w:tcW w:type="dxa" w:w="2160"/>
          </w:tcPr>
          <w:p>
            <w:r/>
            <w:r>
              <w:rPr>
                <w:b/>
                <w:color w:val="12805A"/>
                <w:sz w:val="19"/>
              </w:rPr>
              <w:t>Recibido y verificado — legible, firmado</w:t>
            </w:r>
          </w:p>
        </w:tc>
        <w:tc>
          <w:tcPr>
            <w:tcW w:type="dxa" w:w="2160"/>
          </w:tcPr>
          <w:p>
            <w:r/>
            <w:r>
              <w:rPr>
                <w:b/>
                <w:color w:val="12805A"/>
                <w:sz w:val="19"/>
              </w:rPr>
              <w:t>Recibido y verificado — legible, firmado</w:t>
            </w:r>
          </w:p>
        </w:tc>
        <w:tc>
          <w:tcPr>
            <w:tcW w:type="dxa" w:w="2160"/>
          </w:tcPr>
          <w:p>
            <w:r/>
            <w:r>
              <w:rPr>
                <w:b/>
                <w:color w:val="12805A"/>
                <w:sz w:val="19"/>
              </w:rPr>
              <w:t>No</w:t>
            </w:r>
          </w:p>
        </w:tc>
      </w:tr>
      <w:tr>
        <w:tc>
          <w:tcPr>
            <w:tcW w:type="dxa" w:w="2160"/>
          </w:tcPr>
          <w:p>
            <w:r/>
            <w:r>
              <w:rPr>
                <w:sz w:val="19"/>
              </w:rPr>
              <w:t>Certificación bancaria</w:t>
            </w:r>
          </w:p>
        </w:tc>
        <w:tc>
          <w:tcPr>
            <w:tcW w:type="dxa" w:w="2160"/>
          </w:tcPr>
          <w:p>
            <w:r/>
            <w:r>
              <w:rPr>
                <w:b/>
                <w:color w:val="12805A"/>
                <w:sz w:val="19"/>
              </w:rPr>
              <w:t>Renovada (26-ago-2026)</w:t>
            </w:r>
          </w:p>
        </w:tc>
        <w:tc>
          <w:tcPr>
            <w:tcW w:type="dxa" w:w="2160"/>
          </w:tcPr>
          <w:p>
            <w:r/>
            <w:r>
              <w:rPr>
                <w:b/>
                <w:color w:val="B4560D"/>
                <w:sz w:val="19"/>
              </w:rPr>
              <w:t>Pendiente de verificar</w:t>
            </w:r>
          </w:p>
        </w:tc>
        <w:tc>
          <w:tcPr>
            <w:tcW w:type="dxa" w:w="2160"/>
          </w:tcPr>
          <w:p>
            <w:r/>
            <w:r>
              <w:rPr>
                <w:b/>
                <w:color w:val="12805A"/>
                <w:sz w:val="19"/>
              </w:rPr>
              <w:t>No / Posible</w:t>
            </w:r>
          </w:p>
        </w:tc>
      </w:tr>
      <w:tr>
        <w:tc>
          <w:tcPr>
            <w:tcW w:type="dxa" w:w="2160"/>
          </w:tcPr>
          <w:p>
            <w:r/>
            <w:r>
              <w:rPr>
                <w:sz w:val="19"/>
              </w:rPr>
              <w:t>Contraloría y Procuraduría (empresa + rep. legal)</w:t>
            </w:r>
          </w:p>
        </w:tc>
        <w:tc>
          <w:tcPr>
            <w:tcW w:type="dxa" w:w="2160"/>
          </w:tcPr>
          <w:p>
            <w:r/>
            <w:r>
              <w:rPr>
                <w:b/>
                <w:color w:val="12805A"/>
                <w:sz w:val="19"/>
              </w:rPr>
              <w:t>Vigentes, sin reportes</w:t>
            </w:r>
          </w:p>
        </w:tc>
        <w:tc>
          <w:tcPr>
            <w:tcW w:type="dxa" w:w="2160"/>
          </w:tcPr>
          <w:p>
            <w:r/>
            <w:r>
              <w:rPr>
                <w:b/>
                <w:color w:val="B4560D"/>
                <w:sz w:val="19"/>
              </w:rPr>
              <w:t>Pendiente de verificar</w:t>
            </w:r>
          </w:p>
        </w:tc>
        <w:tc>
          <w:tcPr>
            <w:tcW w:type="dxa" w:w="2160"/>
          </w:tcPr>
          <w:p>
            <w:r/>
            <w:r>
              <w:rPr>
                <w:b/>
                <w:color w:val="12805A"/>
                <w:sz w:val="19"/>
              </w:rPr>
              <w:t>No / Posible</w:t>
            </w:r>
          </w:p>
        </w:tc>
      </w:tr>
      <w:tr>
        <w:tc>
          <w:tcPr>
            <w:tcW w:type="dxa" w:w="2160"/>
          </w:tcPr>
          <w:p>
            <w:r/>
            <w:r>
              <w:rPr>
                <w:sz w:val="19"/>
              </w:rPr>
              <w:t>Antecedentes Policía Nacional (rep. legal)</w:t>
            </w:r>
          </w:p>
        </w:tc>
        <w:tc>
          <w:tcPr>
            <w:tcW w:type="dxa" w:w="2160"/>
          </w:tcPr>
          <w:p>
            <w:r/>
            <w:r>
              <w:rPr>
                <w:b/>
                <w:color w:val="12805A"/>
                <w:sz w:val="19"/>
              </w:rPr>
              <w:t>Recibido — sin antecedentes</w:t>
            </w:r>
          </w:p>
        </w:tc>
        <w:tc>
          <w:tcPr>
            <w:tcW w:type="dxa" w:w="2160"/>
          </w:tcPr>
          <w:p>
            <w:r/>
            <w:r>
              <w:rPr>
                <w:b/>
                <w:color w:val="B4560D"/>
                <w:sz w:val="19"/>
              </w:rPr>
              <w:t>Pendiente de verificar</w:t>
            </w:r>
          </w:p>
        </w:tc>
        <w:tc>
          <w:tcPr>
            <w:tcW w:type="dxa" w:w="2160"/>
          </w:tcPr>
          <w:p>
            <w:r/>
            <w:r>
              <w:rPr>
                <w:b/>
                <w:color w:val="12805A"/>
                <w:sz w:val="19"/>
              </w:rPr>
              <w:t>No</w:t>
            </w:r>
          </w:p>
        </w:tc>
      </w:tr>
      <w:tr>
        <w:tc>
          <w:tcPr>
            <w:tcW w:type="dxa" w:w="2160"/>
          </w:tcPr>
          <w:p>
            <w:r/>
            <w:r>
              <w:rPr>
                <w:sz w:val="19"/>
              </w:rPr>
              <w:t>Cédula representante legal</w:t>
            </w:r>
          </w:p>
        </w:tc>
        <w:tc>
          <w:tcPr>
            <w:tcW w:type="dxa" w:w="2160"/>
          </w:tcPr>
          <w:p>
            <w:r/>
            <w:r>
              <w:rPr>
                <w:b/>
                <w:color w:val="12805A"/>
                <w:sz w:val="19"/>
              </w:rPr>
              <w:t>Verificada — escaneo legible y vigente hasta 2034</w:t>
            </w:r>
          </w:p>
        </w:tc>
        <w:tc>
          <w:tcPr>
            <w:tcW w:type="dxa" w:w="2160"/>
          </w:tcPr>
          <w:p>
            <w:r/>
            <w:r>
              <w:rPr>
                <w:b/>
                <w:color w:val="B4560D"/>
                <w:sz w:val="19"/>
              </w:rPr>
              <w:t>Pendiente de verificar</w:t>
            </w:r>
          </w:p>
        </w:tc>
        <w:tc>
          <w:tcPr>
            <w:tcW w:type="dxa" w:w="2160"/>
          </w:tcPr>
          <w:p>
            <w:r/>
            <w:r>
              <w:rPr>
                <w:b/>
                <w:color w:val="12805A"/>
                <w:sz w:val="19"/>
              </w:rPr>
              <w:t>No</w:t>
            </w:r>
          </w:p>
        </w:tc>
      </w:tr>
      <w:tr>
        <w:tc>
          <w:tcPr>
            <w:tcW w:type="dxa" w:w="2160"/>
          </w:tcPr>
          <w:p>
            <w:r/>
            <w:r>
              <w:rPr>
                <w:sz w:val="19"/>
              </w:rPr>
              <w:t>Certificados de experiencia (mín. 3 por integrante)</w:t>
            </w:r>
          </w:p>
        </w:tc>
        <w:tc>
          <w:tcPr>
            <w:tcW w:type="dxa" w:w="2160"/>
          </w:tcPr>
          <w:p>
            <w:r/>
            <w:r>
              <w:rPr>
                <w:b/>
                <w:color w:val="12805A"/>
                <w:sz w:val="19"/>
              </w:rPr>
              <w:t>Resuelto — 3 cartas</w:t>
            </w:r>
          </w:p>
        </w:tc>
        <w:tc>
          <w:tcPr>
            <w:tcW w:type="dxa" w:w="2160"/>
          </w:tcPr>
          <w:p>
            <w:r/>
            <w:r>
              <w:rPr>
                <w:b/>
                <w:color w:val="A32F2F"/>
                <w:sz w:val="19"/>
              </w:rPr>
              <w:t>Sin certificación propia</w:t>
            </w:r>
          </w:p>
        </w:tc>
        <w:tc>
          <w:tcPr>
            <w:tcW w:type="dxa" w:w="2160"/>
          </w:tcPr>
          <w:p>
            <w:r/>
            <w:r>
              <w:rPr>
                <w:b/>
                <w:color w:val="A32F2F"/>
                <w:sz w:val="19"/>
              </w:rPr>
              <w:t>Posible (Cydesys)</w:t>
            </w:r>
          </w:p>
        </w:tc>
      </w:tr>
      <w:tr>
        <w:tc>
          <w:tcPr>
            <w:tcW w:type="dxa" w:w="2160"/>
          </w:tcPr>
          <w:p>
            <w:r/>
            <w:r>
              <w:rPr>
                <w:sz w:val="19"/>
              </w:rPr>
              <w:t>Póliza de seriedad de la oferta (10%)</w:t>
            </w:r>
          </w:p>
        </w:tc>
        <w:tc>
          <w:tcPr>
            <w:tcW w:type="dxa" w:w="2160"/>
          </w:tcPr>
          <w:p>
            <w:r/>
            <w:r>
              <w:rPr>
                <w:b/>
                <w:color w:val="A32F2F"/>
                <w:sz w:val="19"/>
              </w:rPr>
              <w:t>No existe — cotizar</w:t>
            </w:r>
          </w:p>
        </w:tc>
        <w:tc>
          <w:tcPr>
            <w:tcW w:type="dxa" w:w="2160"/>
          </w:tcPr>
          <w:p>
            <w:r/>
            <w:r>
              <w:rPr>
                <w:b/>
                <w:color w:val="A32F2F"/>
                <w:sz w:val="19"/>
              </w:rPr>
              <w:t>No existe — cotizar</w:t>
            </w:r>
          </w:p>
        </w:tc>
        <w:tc>
          <w:tcPr>
            <w:tcW w:type="dxa" w:w="2160"/>
          </w:tcPr>
          <w:p>
            <w:r/>
            <w:r>
              <w:rPr>
                <w:b/>
                <w:color w:val="B4560D"/>
                <w:sz w:val="19"/>
              </w:rPr>
              <w:t>Posible</w:t>
            </w:r>
          </w:p>
        </w:tc>
      </w:tr>
      <w:tr>
        <w:tc>
          <w:tcPr>
            <w:tcW w:type="dxa" w:w="2160"/>
          </w:tcPr>
          <w:p>
            <w:r/>
            <w:r>
              <w:rPr>
                <w:sz w:val="19"/>
              </w:rPr>
              <w:t>Carta de aval del fabricante</w:t>
            </w:r>
          </w:p>
        </w:tc>
        <w:tc>
          <w:tcPr>
            <w:tcW w:type="dxa" w:w="2160"/>
          </w:tcPr>
          <w:p>
            <w:r/>
            <w:r>
              <w:rPr>
                <w:b/>
                <w:color w:val="A32F2F"/>
                <w:sz w:val="19"/>
              </w:rPr>
              <w:t>Sangfor — no emitida</w:t>
            </w:r>
          </w:p>
        </w:tc>
        <w:tc>
          <w:tcPr>
            <w:tcW w:type="dxa" w:w="2160"/>
          </w:tcPr>
          <w:p>
            <w:r/>
            <w:r>
              <w:rPr>
                <w:b/>
                <w:color w:val="A32F2F"/>
                <w:sz w:val="19"/>
              </w:rPr>
              <w:t>HPE — no emitida</w:t>
            </w:r>
          </w:p>
        </w:tc>
        <w:tc>
          <w:tcPr>
            <w:tcW w:type="dxa" w:w="2160"/>
          </w:tcPr>
          <w:p>
            <w:r/>
            <w:r>
              <w:rPr>
                <w:b/>
                <w:color w:val="B4560D"/>
                <w:sz w:val="19"/>
              </w:rPr>
              <w:t>Posible</w:t>
            </w:r>
          </w:p>
        </w:tc>
      </w:tr>
      <w:tr>
        <w:tc>
          <w:tcPr>
            <w:tcW w:type="dxa" w:w="2160"/>
          </w:tcPr>
          <w:p>
            <w:r/>
            <w:r>
              <w:rPr>
                <w:sz w:val="19"/>
              </w:rPr>
              <w:t>Compromiso de Integridad (Anexo 5/6)</w:t>
            </w:r>
          </w:p>
        </w:tc>
        <w:tc>
          <w:tcPr>
            <w:tcW w:type="dxa" w:w="2160"/>
          </w:tcPr>
          <w:p>
            <w:r/>
            <w:r>
              <w:rPr>
                <w:b/>
                <w:color w:val="B4560D"/>
                <w:sz w:val="19"/>
              </w:rPr>
              <w:t>Plantilla sin firmar</w:t>
            </w:r>
          </w:p>
        </w:tc>
        <w:tc>
          <w:tcPr>
            <w:tcW w:type="dxa" w:w="2160"/>
          </w:tcPr>
          <w:p>
            <w:r/>
            <w:r>
              <w:rPr>
                <w:b/>
                <w:color w:val="B4560D"/>
                <w:sz w:val="19"/>
              </w:rPr>
              <w:t>Plantilla sin firmar</w:t>
            </w:r>
          </w:p>
        </w:tc>
        <w:tc>
          <w:tcPr>
            <w:tcW w:type="dxa" w:w="2160"/>
          </w:tcPr>
          <w:p>
            <w:r/>
            <w:r>
              <w:rPr>
                <w:b/>
                <w:color w:val="B4560D"/>
                <w:sz w:val="19"/>
              </w:rPr>
              <w:t>Posible</w:t>
            </w:r>
          </w:p>
        </w:tc>
      </w:tr>
      <w:tr>
        <w:tc>
          <w:tcPr>
            <w:tcW w:type="dxa" w:w="2160"/>
          </w:tcPr>
          <w:p>
            <w:r/>
            <w:r>
              <w:rPr>
                <w:sz w:val="19"/>
              </w:rPr>
              <w:t>Hojas de vida equipo técnico</w:t>
            </w:r>
          </w:p>
        </w:tc>
        <w:tc>
          <w:tcPr>
            <w:tcW w:type="dxa" w:w="2160"/>
          </w:tcPr>
          <w:p>
            <w:r/>
            <w:r>
              <w:rPr>
                <w:b/>
                <w:color w:val="B4560D"/>
                <w:sz w:val="19"/>
              </w:rPr>
              <w:t>No recopiladas</w:t>
            </w:r>
          </w:p>
        </w:tc>
        <w:tc>
          <w:tcPr>
            <w:tcW w:type="dxa" w:w="2160"/>
          </w:tcPr>
          <w:p>
            <w:r/>
            <w:r>
              <w:rPr>
                <w:b/>
                <w:color w:val="B4560D"/>
                <w:sz w:val="19"/>
              </w:rPr>
              <w:t>No recopiladas</w:t>
            </w:r>
          </w:p>
        </w:tc>
        <w:tc>
          <w:tcPr>
            <w:tcW w:type="dxa" w:w="2160"/>
          </w:tcPr>
          <w:p>
            <w:r/>
            <w:r>
              <w:rPr>
                <w:b/>
                <w:color w:val="B4560D"/>
                <w:sz w:val="19"/>
              </w:rPr>
              <w:t>Posible</w:t>
            </w:r>
          </w:p>
        </w:tc>
      </w:tr>
    </w:tbl>
    <w:p>
      <w:r>
        <w:rPr>
          <w:b/>
          <w:i w:val="0"/>
          <w:color w:val="12805A"/>
          <w:sz w:val="22"/>
        </w:rPr>
        <w:t>✓ Resuelto en esta actualización (5-sep): BLT renovó Cámara de Comercio, RUT y certificación bancaria el 26 de agosto de 2026 — vigentes y dentro del límite de 30 días para el 7-sep y el 16-sep. Se verificó además que la cédula del representante legal y los estados financieros 2025 SÍ tienen contenido completo y legible (el problema anterior fue solo un fallo de conversión automática a texto, no un documento faltante) y se recibió un nuevo certificado de antecedentes de la Policía Nacional de Camilo Gómez Uribe, sin reportes. Del lado de Cydesys: se recibió y verificó el RUT actualizado y los estados financieros 2025 (legibles, firmados por el representante legal y el contador público) — completos.</w:t>
      </w:r>
    </w:p>
    <w:p>
      <w:r>
        <w:rPr>
          <w:b/>
          <w:color w:val="A32F2F"/>
        </w:rPr>
        <w:t xml:space="preserve">⚠ ALERTA — </w:t>
      </w:r>
      <w:r>
        <w:rPr>
          <w:b w:val="0"/>
          <w:color w:val="A32F2F"/>
        </w:rPr>
        <w:t>La Cámara de Comercio de Cydesys/Cyberware sigue siendo la del 11 de agosto de 2026. Para la fecha de la propuesta final (16 de septiembre de 2026) tendrá 36 días de antigüedad — supera el límite de 30 días calendario que exige el TdR. Debe re-expedirse. Este es hoy el bloqueante jurídico más urgente del expediente.</w:t>
      </w:r>
    </w:p>
    <w:p>
      <w:r>
        <w:rPr>
          <w:b/>
          <w:color w:val="A32F2F"/>
        </w:rPr>
        <w:t xml:space="preserve">⚠ ALERTA — </w:t>
      </w:r>
      <w:r>
        <w:rPr>
          <w:b w:val="0"/>
          <w:color w:val="A32F2F"/>
        </w:rPr>
        <w:t>No existe todavía póliza de seriedad de la oferta ni carta de aval de los fabricantes (Sangfor, HPE) — ambos trámites pueden tardar varios días hábiles; iniciar de inmediato.</w:t>
      </w:r>
    </w:p>
    <w:p>
      <w:r>
        <w:rPr>
          <w:b/>
          <w:color w:val="A32F2F"/>
        </w:rPr>
        <w:t xml:space="preserve">⚠ ALERTA — </w:t>
      </w:r>
      <w:r>
        <w:rPr>
          <w:b w:val="0"/>
          <w:color w:val="A32F2F"/>
        </w:rPr>
        <w:t>Faltan los estados financieros de PRUEBA / intermedios de 2026 (no solo los de cierre 2025) de BLT y de Cydesys — el TdR los exige explícitamente además de los auditados de 2025.</w:t>
      </w:r>
    </w:p>
    <w:p>
      <w:r>
        <w:rPr>
          <w:b/>
          <w:color w:val="A32F2F"/>
        </w:rPr>
        <w:t xml:space="preserve">⚠ ALERTA — </w:t>
      </w:r>
      <w:r>
        <w:rPr>
          <w:b w:val="0"/>
          <w:color w:val="A32F2F"/>
        </w:rPr>
        <w:t>Detectado en el repositorio de trabajo un formulario de vinculación de un tercero (mayorista Adistec, código FV-CP-2022) — NO corresponde a este proceso ni sustituye los estados financieros oficiales exigidos por la ECI. No debe incluirse en la propuesta.</w:t>
      </w:r>
    </w:p>
    <w:p>
      <w:r>
        <w:rPr>
          <w:b/>
          <w:color w:val="A32F2F"/>
        </w:rPr>
        <w:t xml:space="preserve">⚠ ALERTA — </w:t>
      </w:r>
      <w:r>
        <w:rPr>
          <w:b w:val="0"/>
          <w:color w:val="A32F2F"/>
        </w:rPr>
        <w:t>No existe todavía un acuerdo de Unión Temporal formalizado por escrito y firmado por los representantes legales de BLT y Cydesys, ni la designación explícita del representante único ante la ECI — la propia Escuela pidió informarlo "de manera clara y detallada junto con la propuesta técnica".</w:t>
      </w:r>
    </w:p>
    <w:p>
      <w:r>
        <w:br w:type="page"/>
      </w:r>
    </w:p>
    <w:p>
      <w:pPr>
        <w:pStyle w:val="Heading1"/>
      </w:pPr>
      <w:r>
        <w:rPr>
          <w:color w:val="08387F"/>
          <w:sz w:val="36"/>
        </w:rPr>
        <w:t>2. Antecedentes y experiencia — Quiénes somos</w:t>
      </w:r>
    </w:p>
    <w:p>
      <w:pPr>
        <w:pStyle w:val="Heading2"/>
      </w:pPr>
      <w:r>
        <w:rPr>
          <w:color w:val="0B5ED7"/>
          <w:sz w:val="27"/>
        </w:rPr>
        <w:t>Blue Label Technologies</w:t>
      </w:r>
    </w:p>
    <w:p>
      <w:r>
        <w:rPr>
          <w:b w:val="0"/>
          <w:i w:val="0"/>
          <w:sz w:val="22"/>
        </w:rPr>
        <w:t>Proveedor colombiano de servicios de ciberseguridad gestionada (MSSP) con Centro de Operaciones de Seguridad (SOC) 24/7. Opera infraestructura de misión crítica de sus clientes bajo un modelo de acompañamiento extremo a extremo, no de venta de licencias.</w:t>
      </w:r>
    </w:p>
    <w:p>
      <w:pPr>
        <w:pStyle w:val="ListBullet"/>
      </w:pPr>
      <w:r>
        <w:t>+123 proyectos ejecutados en 25 organizaciones distintas, con operación ininterrumpida 24/7.</w:t>
      </w:r>
    </w:p>
    <w:p>
      <w:pPr>
        <w:pStyle w:val="ListBullet"/>
      </w:pPr>
      <w:r>
        <w:t>Aliados tecnológicos: Fortinet, Sangfor (hiperconvergencia y virtualización de servidores — alianza ya certificada, directamente relevante para esta propuesta), Symantec, Lenovo, HP, Kiggu.</w:t>
      </w:r>
    </w:p>
    <w:p>
      <w:pPr>
        <w:pStyle w:val="ListBullet"/>
      </w:pPr>
      <w:r>
        <w:t>Certificaciones y marcos de cumplimiento: ISO/IEC 27001, marco NIST, Ley 1581 de Habeas Data, Decreto 886/2021 (continuidad operativa y datos clínicos en salud).</w:t>
      </w:r>
    </w:p>
    <w:p>
      <w:pPr>
        <w:pStyle w:val="ListBullet"/>
      </w:pPr>
      <w:r>
        <w:t>Experiencia sectorial en industrias reguladas: salud (HIPAA, Decreto 886/2021), manufactura e industria (OT/IT, IEC 62443), gobierno y sector financiero (MSPI MinTIC, Circular 007 SFC, PCI DSS).</w:t>
      </w:r>
    </w:p>
    <w:p>
      <w:pPr>
        <w:pStyle w:val="ListBullet"/>
      </w:pPr>
      <w:r>
        <w:t>Cofundadores: Camilo Gómez Uribe (CEO, 20+ años en Health Tech) y Rodrigo Lozano Mora (COO, ciberseguridad, IA y modernización de arquitectura).</w:t>
      </w:r>
    </w:p>
    <w:p>
      <w:pPr>
        <w:pStyle w:val="Heading2"/>
      </w:pPr>
      <w:r>
        <w:rPr>
          <w:color w:val="0B5ED7"/>
          <w:sz w:val="27"/>
        </w:rPr>
        <w:t>Cydesys</w:t>
      </w:r>
    </w:p>
    <w:p>
      <w:r>
        <w:rPr>
          <w:b w:val="0"/>
          <w:i w:val="0"/>
          <w:sz w:val="22"/>
        </w:rPr>
        <w:t>Cydesys — Soluciones Tecnológicas, activa desde 1960, con más de 50 años de trayectoria como mayorista de soluciones tecnológicas para el diseño, la construcción y la administración de infraestructura tecnológica y de telecomunicaciones.</w:t>
      </w:r>
    </w:p>
    <w:p>
      <w:pPr>
        <w:pStyle w:val="ListBullet"/>
      </w:pPr>
      <w:r>
        <w:t>Oficina central en Bogotá, con bodegas propias en Miami y Nueva York que garantizan capacidad logística de importación y disponibilidad de repuestos.</w:t>
      </w:r>
    </w:p>
    <w:p>
      <w:pPr>
        <w:pStyle w:val="ListBullet"/>
      </w:pPr>
      <w:r>
        <w:t>Más de 1.800 clientes satisfechos y más de 1.200 soluciones de infraestructura implementadas.</w:t>
      </w:r>
    </w:p>
    <w:p>
      <w:pPr>
        <w:pStyle w:val="ListBullet"/>
      </w:pPr>
      <w:r>
        <w:t>Alianzas de fabricante de largo plazo: HPE, IBM, Lenovo, Oracle, Dell Technologies, Huawei, Microsoft, Juniper, Cisco, Fortinet, GFI.</w:t>
      </w:r>
    </w:p>
    <w:p>
      <w:pPr>
        <w:pStyle w:val="ListBullet"/>
      </w:pPr>
      <w:r>
        <w:t>Portafolio: soporte IT, infraestructura y datacenter, cableado estructurado, software propio, ciberseguridad, renting de servidores y almacenamiento, telecomunicaciones y telefonía IP.</w:t>
      </w:r>
    </w:p>
    <w:p>
      <w:r>
        <w:rPr>
          <w:b/>
          <w:i w:val="0"/>
          <w:sz w:val="22"/>
        </w:rPr>
        <w:t xml:space="preserve">Rol específico en esta Unión Temporal: </w:t>
      </w:r>
      <w:r>
        <w:t>Cydesys es el partner de implementación física de hardware — entregó las dos arquitecturas de servidor cotizadas (HPE y Dell) que se presentan en el Capítulo 3, y es reseller/distribuidor autorizado de Sangfor (vía EVOCOM) para la capa de virtualización.</w:t>
      </w:r>
    </w:p>
    <w:p>
      <w:pPr>
        <w:pStyle w:val="Heading2"/>
      </w:pPr>
      <w:r>
        <w:rPr>
          <w:color w:val="0B5ED7"/>
          <w:sz w:val="27"/>
        </w:rPr>
        <w:t>Por qué esta Unión Temporal</w:t>
      </w:r>
    </w:p>
    <w:p>
      <w:r>
        <w:rPr>
          <w:b w:val="0"/>
          <w:i w:val="0"/>
          <w:sz w:val="22"/>
        </w:rPr>
        <w:t>La combinación de más de 50 años de trayectoria de Cydesys en integración de infraestructura física con la vigilancia de seguridad ininterrumpida 24/7 de Blue Label Technologies ofrece a la Escuela un solo interlocutor responsable de principio a fin: desde el hardware físico hasta la operación segura de la plataforma virtualizada, con garantías unificadas y responsabilidad solidaria entre ambos integrantes.</w:t>
      </w:r>
    </w:p>
    <w:p>
      <w:r>
        <w:br w:type="page"/>
      </w:r>
    </w:p>
    <w:p>
      <w:pPr>
        <w:pStyle w:val="Heading1"/>
      </w:pPr>
      <w:r>
        <w:rPr>
          <w:color w:val="08387F"/>
          <w:sz w:val="36"/>
        </w:rPr>
        <w:t>3. Arquitectura de la solución técnica</w:t>
      </w:r>
    </w:p>
    <w:p>
      <w:r>
        <w:rPr>
          <w:b w:val="0"/>
          <w:i/>
          <w:color w:val="42506B"/>
          <w:sz w:val="22"/>
        </w:rPr>
        <w:t>Peso de evaluación: 30% — el criterio de mayor peso individual del TdR.</w:t>
      </w:r>
    </w:p>
    <w:p>
      <w:pPr>
        <w:pStyle w:val="Heading2"/>
      </w:pPr>
      <w:r>
        <w:rPr>
          <w:color w:val="0B5ED7"/>
          <w:sz w:val="27"/>
        </w:rPr>
        <w:t>3.1 Diagnóstico de la infraestructura actual</w:t>
      </w:r>
    </w:p>
    <w:p>
      <w:pPr>
        <w:pStyle w:val="ListBullet"/>
      </w:pPr>
      <w:r>
        <w:t>Clúster de 4 nodos Dell PowerEdge R740/R740XD (2 de cada modelo), Intel Xeon Silver 4114/4214, 384 GB RAM por nodo (≈1,53 TB agregados), VMware ESXi 7.0.3 centralizado en vCenter 7.</w:t>
      </w:r>
    </w:p>
    <w:p>
      <w:pPr>
        <w:pStyle w:val="ListBullet"/>
      </w:pPr>
      <w:r>
        <w:t>Almacenamiento distribuido de 61,44 TB brutos, con 67% de ocupación reportado en el TdR (71% según el inventario RVTools más reciente) — límite de capacidad inminente.</w:t>
      </w:r>
    </w:p>
    <w:p>
      <w:pPr>
        <w:pStyle w:val="ListBullet"/>
      </w:pPr>
      <w:r>
        <w:t>Switch core Extreme VSP7254XSQ de 10G (24 de 48 puertos libres). Clúster reportado por vCenter en estado de alerta ("red") al momento del inventario.</w:t>
      </w:r>
    </w:p>
    <w:p>
      <w:pPr>
        <w:pStyle w:val="ListBullet"/>
      </w:pPr>
      <w:r>
        <w:t>Entorno híbrido: integración con Oracle OCI (sistema académico), AWS (portal web) y Azure (gestión de calidad).</w:t>
      </w:r>
    </w:p>
    <w:p>
      <w:pPr>
        <w:pStyle w:val="Heading2"/>
      </w:pPr>
      <w:r>
        <w:rPr>
          <w:color w:val="0B5ED7"/>
          <w:sz w:val="27"/>
        </w:rPr>
        <w:t>3.2 Alcance confirmado con la ECI</w:t>
      </w:r>
    </w:p>
    <w:p>
      <w:r>
        <w:rPr>
          <w:b w:val="0"/>
          <w:i w:val="0"/>
          <w:sz w:val="22"/>
        </w:rPr>
        <w:t>La Escuela confirmó por escrito (respuestas oficiales del 2 de septiembre de 2026) que el alcance de esta modernización es virtualización de cómputo y red únicamente — sin hiperconvergencia completa.</w:t>
      </w:r>
    </w:p>
    <w:p>
      <w:pPr>
        <w:pStyle w:val="ListBullet"/>
      </w:pPr>
      <w:r>
        <w:t>aSV — virtualización de cómputo, en alcance.</w:t>
      </w:r>
    </w:p>
    <w:p>
      <w:pPr>
        <w:pStyle w:val="ListBullet"/>
      </w:pPr>
      <w:r>
        <w:t>aNet — virtualización de red, en alcance.</w:t>
      </w:r>
    </w:p>
    <w:p>
      <w:pPr>
        <w:pStyle w:val="ListBullet"/>
      </w:pPr>
      <w:r>
        <w:t>aSAN / aStor (almacenamiento definido por software) y aSEC (firewall distribuido) — capacidad disponible de la plataforma Sangfor, pero fuera del alcance contratado en esta fase; la Escuela mantiene su almacenamiento externo/existente.</w:t>
      </w:r>
    </w:p>
    <w:p>
      <w:r>
        <w:rPr>
          <w:b/>
          <w:color w:val="A32F2F"/>
        </w:rPr>
        <w:t xml:space="preserve">⚠ ALERTA — </w:t>
      </w:r>
      <w:r>
        <w:rPr>
          <w:b w:val="0"/>
          <w:color w:val="A32F2F"/>
        </w:rPr>
        <w:t>Riesgo de interpretación a verificar directamente con la ECI antes de radicar: el texto del TdR y sus anexos usa literalmente el término "infraestructura hiperconvergente (HCI)", mientras que la arquitectura aquí propuesta (Sangfor aSV + aNet con cabina SAN externa HPE MSA2062) es virtualización tradicional, sin almacenamiento hiperconvergente (aSAN). Esto respalda el alcance que la propia ECI confirmó por escrito el 2 de septiembre, pero puede ser objetado por el comité técnico si no se documenta esa confirmación de forma explícita dentro de la propuesta radicada. Se recomienda citar textualmente la respuesta oficial de la ECI en la carta de presentación.</w:t>
      </w:r>
    </w:p>
    <w:p>
      <w:pPr>
        <w:pStyle w:val="Heading2"/>
      </w:pPr>
      <w:r>
        <w:rPr>
          <w:color w:val="0B5ED7"/>
          <w:sz w:val="27"/>
        </w:rPr>
        <w:t>3.3 Arquitectura propuesta — plataforma Sangfor</w:t>
      </w:r>
    </w:p>
    <w:p>
      <w:pPr>
        <w:pStyle w:val="ListBullet"/>
      </w:pPr>
      <w:r>
        <w:t>Consola de gestión unificada (SCP + SkyOps, monitoreo con inteligencia artificial) en reemplazo de vRealize Automation/Operations.</w:t>
      </w:r>
    </w:p>
    <w:p>
      <w:pPr>
        <w:pStyle w:val="ListBullet"/>
      </w:pPr>
      <w:r>
        <w:t>aSV en reemplazo de vSphere como hipervisor de cómputo; aNet en reemplazo de NSX para virtualización y seguridad de red.</w:t>
      </w:r>
    </w:p>
    <w:p>
      <w:pPr>
        <w:pStyle w:val="ListBullet"/>
      </w:pPr>
      <w:r>
        <w:t>Recuperación ante desastres integrada al hipervisor (CDP + aDR) en reemplazo de Site Recovery Manager, sin producto adicional que licenciar por separado.</w:t>
      </w:r>
    </w:p>
    <w:p>
      <w:pPr>
        <w:pStyle w:val="ListBullet"/>
      </w:pPr>
      <w:r>
        <w:t>Backup nativo incluido (Built-in Backup) dentro de la misma licencia — sin herramienta de terceros aparte.</w:t>
      </w:r>
    </w:p>
    <w:p>
      <w:pPr>
        <w:pStyle w:val="ListBullet"/>
      </w:pPr>
      <w:r>
        <w:t>Licencia perpetua disponible y priorizada para el sector educativo, sin forzar modelo de suscripción.</w:t>
      </w:r>
    </w:p>
    <w:p>
      <w:pPr>
        <w:pStyle w:val="Heading2"/>
      </w:pPr>
      <w:r>
        <w:rPr>
          <w:color w:val="0B5ED7"/>
          <w:sz w:val="27"/>
        </w:rPr>
        <w:t>3.4 Dos rutas de inversión en hardware — HPE y Dell</w:t>
      </w:r>
    </w:p>
    <w:p>
      <w:r>
        <w:rPr>
          <w:b w:val="0"/>
          <w:i w:val="0"/>
          <w:sz w:val="22"/>
        </w:rPr>
        <w:t>Cydesys entregó dos arquitecturas físicas completas, ambas sobre un clúster de 4 nodos con Sangfor aSV + aNet y almacenamiento en cabina SAN externa por Fibre Channel.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8387F"/>
          </w:tcPr>
          <w:p>
            <w:r/>
            <w:r>
              <w:rPr>
                <w:b/>
                <w:color w:val="FFFFFF"/>
                <w:sz w:val="19"/>
              </w:rPr>
              <w:t>Criterio</w:t>
            </w:r>
          </w:p>
        </w:tc>
        <w:tc>
          <w:tcPr>
            <w:tcW w:type="dxa" w:w="2880"/>
            <w:shd w:fill="08387F"/>
          </w:tcPr>
          <w:p>
            <w:r/>
            <w:r>
              <w:rPr>
                <w:b/>
                <w:color w:val="FFFFFF"/>
                <w:sz w:val="19"/>
              </w:rPr>
              <w:t>Opción A — HPE ProLiant DL380 Gen11</w:t>
            </w:r>
          </w:p>
        </w:tc>
        <w:tc>
          <w:tcPr>
            <w:tcW w:type="dxa" w:w="2880"/>
            <w:shd w:fill="08387F"/>
          </w:tcPr>
          <w:p>
            <w:r/>
            <w:r>
              <w:rPr>
                <w:b/>
                <w:color w:val="FFFFFF"/>
                <w:sz w:val="19"/>
              </w:rPr>
              <w:t>Opción B — Actualización Dell R740/R740XD</w:t>
            </w:r>
          </w:p>
        </w:tc>
      </w:tr>
      <w:tr>
        <w:tc>
          <w:tcPr>
            <w:tcW w:type="dxa" w:w="2880"/>
          </w:tcPr>
          <w:p>
            <w:r/>
            <w:r>
              <w:rPr>
                <w:sz w:val="19"/>
              </w:rPr>
              <w:t>Estado del hardware</w:t>
            </w:r>
          </w:p>
        </w:tc>
        <w:tc>
          <w:tcPr>
            <w:tcW w:type="dxa" w:w="2880"/>
          </w:tcPr>
          <w:p>
            <w:r/>
            <w:r>
              <w:rPr>
                <w:sz w:val="19"/>
              </w:rPr>
              <w:t>100% nuevo</w:t>
            </w:r>
          </w:p>
        </w:tc>
        <w:tc>
          <w:tcPr>
            <w:tcW w:type="dxa" w:w="2880"/>
          </w:tcPr>
          <w:p>
            <w:r/>
            <w:r>
              <w:rPr>
                <w:sz w:val="19"/>
              </w:rPr>
              <w:t>Actualización de equipos existentes</w:t>
            </w:r>
          </w:p>
        </w:tc>
      </w:tr>
      <w:tr>
        <w:tc>
          <w:tcPr>
            <w:tcW w:type="dxa" w:w="2880"/>
          </w:tcPr>
          <w:p>
            <w:r/>
            <w:r>
              <w:rPr>
                <w:sz w:val="19"/>
              </w:rPr>
              <w:t>Procesador / memoria</w:t>
            </w:r>
          </w:p>
        </w:tc>
        <w:tc>
          <w:tcPr>
            <w:tcW w:type="dxa" w:w="2880"/>
          </w:tcPr>
          <w:p>
            <w:r/>
            <w:r>
              <w:rPr>
                <w:sz w:val="19"/>
              </w:rPr>
              <w:t>Xeon Silver Gen5 / DDR5</w:t>
            </w:r>
          </w:p>
        </w:tc>
        <w:tc>
          <w:tcPr>
            <w:tcW w:type="dxa" w:w="2880"/>
          </w:tcPr>
          <w:p>
            <w:r/>
            <w:r>
              <w:rPr>
                <w:sz w:val="19"/>
              </w:rPr>
              <w:t>Xeon Gold Cascade Lake / DDR4</w:t>
            </w:r>
          </w:p>
        </w:tc>
      </w:tr>
      <w:tr>
        <w:tc>
          <w:tcPr>
            <w:tcW w:type="dxa" w:w="2880"/>
          </w:tcPr>
          <w:p>
            <w:r/>
            <w:r>
              <w:rPr>
                <w:sz w:val="19"/>
              </w:rPr>
              <w:t>Cumplimiento Anexo 4 (Gen5+/DDR5)</w:t>
            </w:r>
          </w:p>
        </w:tc>
        <w:tc>
          <w:tcPr>
            <w:tcW w:type="dxa" w:w="2880"/>
          </w:tcPr>
          <w:p>
            <w:r/>
            <w:r>
              <w:rPr>
                <w:b/>
                <w:color w:val="12805A"/>
                <w:sz w:val="19"/>
              </w:rPr>
              <w:t>Total, sin ambigüedad</w:t>
            </w:r>
          </w:p>
        </w:tc>
        <w:tc>
          <w:tcPr>
            <w:tcW w:type="dxa" w:w="2880"/>
          </w:tcPr>
          <w:p>
            <w:r/>
            <w:r>
              <w:rPr>
                <w:b/>
                <w:color w:val="A32F2F"/>
                <w:sz w:val="19"/>
              </w:rPr>
              <w:t>Parcial — no incorpora DDR5</w:t>
            </w:r>
          </w:p>
        </w:tc>
      </w:tr>
      <w:tr>
        <w:tc>
          <w:tcPr>
            <w:tcW w:type="dxa" w:w="2880"/>
          </w:tcPr>
          <w:p>
            <w:r/>
            <w:r>
              <w:rPr>
                <w:sz w:val="19"/>
              </w:rPr>
              <w:t>Tiempo de entrega</w:t>
            </w:r>
          </w:p>
        </w:tc>
        <w:tc>
          <w:tcPr>
            <w:tcW w:type="dxa" w:w="2880"/>
          </w:tcPr>
          <w:p>
            <w:r/>
            <w:r>
              <w:rPr>
                <w:sz w:val="19"/>
              </w:rPr>
              <w:t>30–60 días (procura de hardware nuevo)</w:t>
            </w:r>
          </w:p>
        </w:tc>
        <w:tc>
          <w:tcPr>
            <w:tcW w:type="dxa" w:w="2880"/>
          </w:tcPr>
          <w:p>
            <w:r/>
            <w:r>
              <w:rPr>
                <w:sz w:val="19"/>
              </w:rPr>
              <w:t>Inmediato / alta agilidad</w:t>
            </w:r>
          </w:p>
        </w:tc>
      </w:tr>
      <w:tr>
        <w:tc>
          <w:tcPr>
            <w:tcW w:type="dxa" w:w="2880"/>
          </w:tcPr>
          <w:p>
            <w:r/>
            <w:r>
              <w:rPr>
                <w:sz w:val="19"/>
              </w:rPr>
              <w:t>Proyección de vida útil a 5 años</w:t>
            </w:r>
          </w:p>
        </w:tc>
        <w:tc>
          <w:tcPr>
            <w:tcW w:type="dxa" w:w="2880"/>
          </w:tcPr>
          <w:p>
            <w:r/>
            <w:r>
              <w:rPr>
                <w:b/>
                <w:color w:val="12805A"/>
                <w:sz w:val="19"/>
              </w:rPr>
              <w:t>Óptima, garantía extendida de fábrica</w:t>
            </w:r>
          </w:p>
        </w:tc>
        <w:tc>
          <w:tcPr>
            <w:tcW w:type="dxa" w:w="2880"/>
          </w:tcPr>
          <w:p>
            <w:r/>
            <w:r>
              <w:rPr>
                <w:sz w:val="19"/>
              </w:rPr>
              <w:t>Limitada — recomendada como transición</w:t>
            </w:r>
          </w:p>
        </w:tc>
      </w:tr>
      <w:tr>
        <w:tc>
          <w:tcPr>
            <w:tcW w:type="dxa" w:w="2880"/>
          </w:tcPr>
          <w:p>
            <w:r/>
            <w:r>
              <w:rPr>
                <w:sz w:val="19"/>
              </w:rPr>
              <w:t>Recomendación de la Unión Temporal</w:t>
            </w:r>
          </w:p>
        </w:tc>
        <w:tc>
          <w:tcPr>
            <w:tcW w:type="dxa" w:w="2880"/>
          </w:tcPr>
          <w:p>
            <w:r/>
            <w:r>
              <w:rPr>
                <w:b/>
                <w:color w:val="12805A"/>
                <w:sz w:val="19"/>
              </w:rPr>
              <w:t>Ruta principal</w:t>
            </w:r>
          </w:p>
        </w:tc>
        <w:tc>
          <w:tcPr>
            <w:tcW w:type="dxa" w:w="2880"/>
          </w:tcPr>
          <w:p>
            <w:r/>
            <w:r>
              <w:rPr>
                <w:sz w:val="19"/>
              </w:rPr>
              <w:t>Alternativa secundaria de contingencia</w:t>
            </w:r>
          </w:p>
        </w:tc>
      </w:tr>
    </w:tbl>
    <w:p>
      <w:r>
        <w:rPr>
          <w:b/>
          <w:color w:val="A32F2F"/>
        </w:rPr>
        <w:t xml:space="preserve">⚠ ALERTA — </w:t>
      </w:r>
      <w:r>
        <w:rPr>
          <w:b w:val="0"/>
          <w:color w:val="A32F2F"/>
        </w:rPr>
        <w:t>La Opción B (Dell) no satisface literalmente el requisito Gen5+/DDR5 del Anexo 4 pese a la actualización de componentes. Se presenta con la advertencia explícita de riesgo de cumplimiento para que la decisión final quede en manos del comité evaluador de la ECI, no como una omisión del proponente.</w:t>
      </w:r>
    </w:p>
    <w:p>
      <w:r>
        <w:rPr>
          <w:b/>
          <w:color w:val="A32F2F"/>
        </w:rPr>
        <w:t xml:space="preserve">⚠ ALERTA — </w:t>
      </w:r>
      <w:r>
        <w:rPr>
          <w:b w:val="0"/>
          <w:color w:val="A32F2F"/>
        </w:rPr>
        <w:t>Pendiente de decisión interna de la Unión Temporal: confirmar cuál de las dos opciones (o ambas) se radica formalmente en el Anexo 2 (TCO) antes del 16 de septiembre.</w:t>
      </w:r>
    </w:p>
    <w:p>
      <w:pPr>
        <w:pStyle w:val="Heading2"/>
      </w:pPr>
      <w:r>
        <w:rPr>
          <w:color w:val="0B5ED7"/>
          <w:sz w:val="27"/>
        </w:rPr>
        <w:t>3.5 Conectividad de red</w:t>
      </w:r>
    </w:p>
    <w:p>
      <w:pPr>
        <w:pStyle w:val="ListBullet"/>
      </w:pPr>
      <w:r>
        <w:t>Mínimo 10 Gbps redundante entre cómputo y almacenamiento, con capacidad de crecer a 25/40 Gbps sin tocar el cableado hacia los nodos.</w:t>
      </w:r>
    </w:p>
    <w:p>
      <w:pPr>
        <w:pStyle w:val="ListBullet"/>
      </w:pPr>
      <w:r>
        <w:t>Cada nodo con doble enlace hacia un par de switches redundantes — la caída de un cable, puerto o switch no aísla al clúster.</w:t>
      </w:r>
    </w:p>
    <w:p>
      <w:pPr>
        <w:pStyle w:val="ListBullet"/>
      </w:pPr>
      <w:r>
        <w:t>Reutilización del switch core Extreme existente (24 de 48 puertos libres) y del firewall perimetral Checkpoint 9300, sin cambios en la política de seguridad ya operada por la Escuela.</w:t>
      </w:r>
    </w:p>
    <w:p>
      <w:r>
        <w:br w:type="page"/>
      </w:r>
    </w:p>
    <w:p>
      <w:pPr>
        <w:pStyle w:val="Heading1"/>
      </w:pPr>
      <w:r>
        <w:rPr>
          <w:color w:val="08387F"/>
          <w:sz w:val="36"/>
        </w:rPr>
        <w:t>4. Continuidad y estrategia de migración</w:t>
      </w:r>
    </w:p>
    <w:p>
      <w:r>
        <w:rPr>
          <w:b w:val="0"/>
          <w:i/>
          <w:color w:val="42506B"/>
          <w:sz w:val="22"/>
        </w:rPr>
        <w:t>Peso de evaluación: 5% (implementación y migración).</w:t>
      </w:r>
    </w:p>
    <w:p>
      <w:pPr>
        <w:pStyle w:val="ListBullet"/>
      </w:pPr>
      <w:r>
        <w:t>Fase 1 — Diagnóstico de entorno: verificación exhaustiva de requisitos lógicos, eléctricos y de red; plan de contingencia y ruta de reversión segura.</w:t>
      </w:r>
    </w:p>
    <w:p>
      <w:pPr>
        <w:pStyle w:val="ListBullet"/>
      </w:pPr>
      <w:r>
        <w:t>Fase 2 — Despliegue de base: instalación física del equipamiento seleccionado, configuración de red e instalación nativa de la plataforma Sangfor, en paralelo a la plataforma VMware activa.</w:t>
      </w:r>
    </w:p>
    <w:p>
      <w:pPr>
        <w:pStyle w:val="ListBullet"/>
      </w:pPr>
      <w:r>
        <w:t>Fase 3 — Movimiento de datos: migración escalonada por criticidad (no crítico → identidad/servicios → núcleo académico), bajo ventanas de mantenimiento acordadas con la Dirección de Tecnología, con reversa disponible en cada fase.</w:t>
      </w:r>
    </w:p>
    <w:p>
      <w:pPr>
        <w:pStyle w:val="ListBullet"/>
      </w:pPr>
      <w:r>
        <w:t>Fase 4 — Evaluación de buenas prácticas: auditoría técnica obligatoria dentro de los primeros 3 meses de operación, con recomendaciones continuas de optimización.</w:t>
      </w:r>
    </w:p>
    <w:p>
      <w:r>
        <w:rPr>
          <w:b w:val="0"/>
          <w:i w:val="0"/>
          <w:sz w:val="22"/>
        </w:rPr>
        <w:t>Ventana de ejecución: inicio en el último trimestre de 2026 (aprovechando el receso académico de diciembre), con fecha límite el 31 de marzo de 2027 para el 100% de las cargas migradas y en producción — confirmado por la ECI como fecha dura.</w:t>
      </w:r>
    </w:p>
    <w:p>
      <w:pPr>
        <w:pStyle w:val="Heading1"/>
      </w:pPr>
      <w:r>
        <w:rPr>
          <w:color w:val="08387F"/>
          <w:sz w:val="36"/>
        </w:rPr>
        <w:t>5. Alta disponibilidad, recuperación ante desastres y seguridad</w:t>
      </w:r>
    </w:p>
    <w:p>
      <w:pPr>
        <w:pStyle w:val="ListBullet"/>
      </w:pPr>
      <w:r>
        <w:t>Disponibilidad superior al 99,9% para la arquitectura lógica central, con tolerancia a la pérdida simultánea de hasta 2 nodos sin detener el servicio.</w:t>
      </w:r>
    </w:p>
    <w:p>
      <w:pPr>
        <w:pStyle w:val="ListBullet"/>
      </w:pPr>
      <w:r>
        <w:t>Migración en vivo (live migration) de cargas de trabajo sin interrupción de servicios académicos ni administrativos.</w:t>
      </w:r>
    </w:p>
    <w:p>
      <w:pPr>
        <w:pStyle w:val="ListBullet"/>
      </w:pPr>
      <w:r>
        <w:t>Tolerancia automatizada: reinicio inmediato y autónomo de las máquinas virtuales ante la pérdida física abrupta de cualquier nodo, en milisegundos.</w:t>
      </w:r>
    </w:p>
    <w:p>
      <w:pPr>
        <w:pStyle w:val="ListBullet"/>
      </w:pPr>
      <w:r>
        <w:t>Recuperación ante desastres con RPO≈0 (hasta 1 segundo con CDP nativo) y RTO de segundos a 30 minutos — muy por debajo del umbral de 4 horas que exige el BIA tecnológico de la propia Escuela (Sonda, 2022) para su infraestructura Tier-1.</w:t>
      </w:r>
    </w:p>
    <w:p>
      <w:pPr>
        <w:pStyle w:val="ListBullet"/>
      </w:pPr>
      <w:r>
        <w:t>Gestión de instantáneas de datos (snapshots inmutables) para protección rápida contra alteraciones no autorizadas o fallos lógicos, y compatibilidad nativa con sistemas de respaldo de terceros (Acronis, sin obligación de reemplazo según confirmó la ECI).</w:t>
      </w:r>
    </w:p>
    <w:p>
      <w:pPr>
        <w:pStyle w:val="ListBullet"/>
      </w:pPr>
      <w:r>
        <w:t>Seguridad: soporte nativo para Active Directory/LDAP, control de acceso basado en roles (RBAC), comunicaciones cifradas (TLS 1.2+), aislamiento de red que bloquea la propagación lateral de código malicioso.</w:t>
      </w:r>
    </w:p>
    <w:p>
      <w:pPr>
        <w:pStyle w:val="ListBullet"/>
      </w:pPr>
      <w:r>
        <w:t>Alineación con ISO 27001, Ley 1581/2012 y microsegmentación — con valoración explícita confirmada por la Escuela como criterio de arquitectura.</w:t>
      </w:r>
    </w:p>
    <w:p>
      <w:r>
        <w:br w:type="page"/>
      </w:r>
    </w:p>
    <w:p>
      <w:pPr>
        <w:pStyle w:val="Heading1"/>
      </w:pPr>
      <w:r>
        <w:rPr>
          <w:color w:val="08387F"/>
          <w:sz w:val="36"/>
        </w:rPr>
        <w:t>6. Acuerdos de Nivel de Servicio (ANS/SLA)</w:t>
      </w:r>
    </w:p>
    <w:p>
      <w:r>
        <w:rPr>
          <w:b w:val="0"/>
          <w:i/>
          <w:color w:val="42506B"/>
          <w:sz w:val="22"/>
        </w:rPr>
        <w:t>Peso de evaluación: 15%.</w:t>
      </w:r>
    </w:p>
    <w:tbl>
      <w:tblPr>
        <w:tblStyle w:val="LightGrid-Accent1"/>
        <w:tblW w:type="auto" w:w="0"/>
        <w:jc w:val="center"/>
        <w:tblLook w:firstColumn="1" w:firstRow="1" w:lastColumn="0" w:lastRow="0" w:noHBand="0" w:noVBand="1" w:val="04A0"/>
      </w:tblPr>
      <w:tblGrid>
        <w:gridCol w:w="4320"/>
        <w:gridCol w:w="4320"/>
      </w:tblGrid>
      <w:tr>
        <w:tc>
          <w:tcPr>
            <w:tcW w:type="dxa" w:w="4320"/>
            <w:shd w:fill="08387F"/>
          </w:tcPr>
          <w:p>
            <w:r/>
            <w:r>
              <w:rPr>
                <w:b/>
                <w:color w:val="FFFFFF"/>
                <w:sz w:val="19"/>
              </w:rPr>
              <w:t>Componente</w:t>
            </w:r>
          </w:p>
        </w:tc>
        <w:tc>
          <w:tcPr>
            <w:tcW w:type="dxa" w:w="4320"/>
            <w:shd w:fill="08387F"/>
          </w:tcPr>
          <w:p>
            <w:r/>
            <w:r>
              <w:rPr>
                <w:b/>
                <w:color w:val="FFFFFF"/>
                <w:sz w:val="19"/>
              </w:rPr>
              <w:t>Garantía</w:t>
            </w:r>
          </w:p>
        </w:tc>
      </w:tr>
      <w:tr>
        <w:tc>
          <w:tcPr>
            <w:tcW w:type="dxa" w:w="4320"/>
          </w:tcPr>
          <w:p>
            <w:r/>
            <w:r>
              <w:rPr>
                <w:sz w:val="19"/>
              </w:rPr>
              <w:t>Disponibilidad — plataforma lógica (Sangfor)</w:t>
            </w:r>
          </w:p>
        </w:tc>
        <w:tc>
          <w:tcPr>
            <w:tcW w:type="dxa" w:w="4320"/>
          </w:tcPr>
          <w:p>
            <w:r/>
            <w:r>
              <w:rPr>
                <w:sz w:val="19"/>
              </w:rPr>
              <w:t>99,9% de tiempo en línea, respaldo contractual</w:t>
            </w:r>
          </w:p>
        </w:tc>
      </w:tr>
      <w:tr>
        <w:tc>
          <w:tcPr>
            <w:tcW w:type="dxa" w:w="4320"/>
          </w:tcPr>
          <w:p>
            <w:r/>
            <w:r>
              <w:rPr>
                <w:sz w:val="19"/>
              </w:rPr>
              <w:t>Garantía de equipamiento físico</w:t>
            </w:r>
          </w:p>
        </w:tc>
        <w:tc>
          <w:tcPr>
            <w:tcW w:type="dxa" w:w="4320"/>
          </w:tcPr>
          <w:p>
            <w:r/>
            <w:r>
              <w:rPr>
                <w:sz w:val="19"/>
              </w:rPr>
              <w:t>Mínimo 3 años, respaldada directamente por el fabricante (HPE)</w:t>
            </w:r>
          </w:p>
        </w:tc>
      </w:tr>
      <w:tr>
        <w:tc>
          <w:tcPr>
            <w:tcW w:type="dxa" w:w="4320"/>
          </w:tcPr>
          <w:p>
            <w:r/>
            <w:r>
              <w:rPr>
                <w:sz w:val="19"/>
              </w:rPr>
              <w:t>Reposición de partes físicas</w:t>
            </w:r>
          </w:p>
        </w:tc>
        <w:tc>
          <w:tcPr>
            <w:tcW w:type="dxa" w:w="4320"/>
          </w:tcPr>
          <w:p>
            <w:r/>
            <w:r>
              <w:rPr>
                <w:sz w:val="19"/>
              </w:rPr>
              <w:t>Reemplazo de componentes al siguiente día hábil</w:t>
            </w:r>
          </w:p>
        </w:tc>
      </w:tr>
      <w:tr>
        <w:tc>
          <w:tcPr>
            <w:tcW w:type="dxa" w:w="4320"/>
          </w:tcPr>
          <w:p>
            <w:r/>
            <w:r>
              <w:rPr>
                <w:sz w:val="19"/>
              </w:rPr>
              <w:t>Modelo de atención — hardware</w:t>
            </w:r>
          </w:p>
        </w:tc>
        <w:tc>
          <w:tcPr>
            <w:tcW w:type="dxa" w:w="4320"/>
          </w:tcPr>
          <w:p>
            <w:r/>
            <w:r>
              <w:rPr>
                <w:sz w:val="19"/>
              </w:rPr>
              <w:t>Soporte 5×8 para incidentes mecánicos en el centro de datos</w:t>
            </w:r>
          </w:p>
        </w:tc>
      </w:tr>
      <w:tr>
        <w:tc>
          <w:tcPr>
            <w:tcW w:type="dxa" w:w="4320"/>
          </w:tcPr>
          <w:p>
            <w:r/>
            <w:r>
              <w:rPr>
                <w:sz w:val="19"/>
              </w:rPr>
              <w:t>Atención a incidentes — plataforma lógica</w:t>
            </w:r>
          </w:p>
        </w:tc>
        <w:tc>
          <w:tcPr>
            <w:tcW w:type="dxa" w:w="4320"/>
          </w:tcPr>
          <w:p>
            <w:r/>
            <w:r>
              <w:rPr>
                <w:sz w:val="19"/>
              </w:rPr>
              <w:t>Soporte especializado 24/7 (BLT/Sangfor) con escalamiento directo a ingeniería del fabricante</w:t>
            </w:r>
          </w:p>
        </w:tc>
      </w:tr>
      <w:tr>
        <w:tc>
          <w:tcPr>
            <w:tcW w:type="dxa" w:w="4320"/>
          </w:tcPr>
          <w:p>
            <w:r/>
            <w:r>
              <w:rPr>
                <w:sz w:val="19"/>
              </w:rPr>
              <w:t>Transferencia de conocimiento</w:t>
            </w:r>
          </w:p>
        </w:tc>
        <w:tc>
          <w:tcPr>
            <w:tcW w:type="dxa" w:w="4320"/>
          </w:tcPr>
          <w:p>
            <w:r/>
            <w:r>
              <w:rPr>
                <w:sz w:val="19"/>
              </w:rPr>
              <w:t>Manuales, arquitectura detallada, diccionarios lógicos y capacitación formal al personal de la ECI (OSIRIS)</w:t>
            </w:r>
          </w:p>
        </w:tc>
      </w:tr>
    </w:tbl>
    <w:p>
      <w:r>
        <w:rPr>
          <w:b w:val="0"/>
          <w:i w:val="0"/>
          <w:sz w:val="22"/>
        </w:rPr>
        <w:t>La clasificación de incidentes usa 4 niveles de prioridad (P1 crítica a P4 baja), con tiempos de respuesta y escalamiento a fabricante diferenciados por prioridad, medición y gobierno mensual del servicio.</w:t>
      </w:r>
    </w:p>
    <w:p>
      <w:pPr>
        <w:pStyle w:val="Heading1"/>
      </w:pPr>
      <w:r>
        <w:rPr>
          <w:color w:val="08387F"/>
          <w:sz w:val="36"/>
        </w:rPr>
        <w:t>7. Prueba de Concepto (PoC)</w:t>
      </w:r>
    </w:p>
    <w:p>
      <w:r>
        <w:rPr>
          <w:b w:val="0"/>
          <w:i/>
          <w:color w:val="42506B"/>
          <w:sz w:val="22"/>
        </w:rPr>
        <w:t>Peso de evaluación: 15%.</w:t>
      </w:r>
    </w:p>
    <w:p>
      <w:r>
        <w:rPr>
          <w:b/>
          <w:color w:val="A32F2F"/>
        </w:rPr>
        <w:t xml:space="preserve">⚠ ALERTA — </w:t>
      </w:r>
      <w:r>
        <w:rPr>
          <w:b w:val="0"/>
          <w:color w:val="A32F2F"/>
        </w:rPr>
        <w:t>El diseño detallado de la PoC (alcance, criterios de aceptación medibles y cronograma) está pendiente — el TdR la reserva para la ventana del 15 al 19 de septiembre, exclusivamente para los oferentes preseleccionados el 14 de septiembre. No es un vacío de esta propuesta: es una etapa posterior del proceso.</w:t>
      </w:r>
    </w:p>
    <w:p>
      <w:pPr>
        <w:pStyle w:val="ListBullet"/>
      </w:pPr>
      <w:r>
        <w:t>Alcance previsto: validar en el ambiente de pruebas de la ECI el comportamiento de la plataforma Sangfor sobre el hardware recomendado (Opción A — HPE).</w:t>
      </w:r>
    </w:p>
    <w:p>
      <w:pPr>
        <w:pStyle w:val="ListBullet"/>
      </w:pPr>
      <w:r>
        <w:t>Criterios de aceptación previstos: rendimiento bajo carga, tolerancia a falla de nodo (HA), tiempos de recuperación (RTO/RPO) medidos en vivo.</w:t>
      </w:r>
    </w:p>
    <w:p>
      <w:pPr>
        <w:pStyle w:val="ListBullet"/>
      </w:pPr>
      <w:r>
        <w:t>La Unión Temporal se compromete a presentar el plan detallado de PoC dentro de los plazos que fije la ECI tras la preselección.</w:t>
      </w:r>
    </w:p>
    <w:p>
      <w:pPr>
        <w:pStyle w:val="Heading1"/>
      </w:pPr>
      <w:r>
        <w:rPr>
          <w:color w:val="08387F"/>
          <w:sz w:val="36"/>
        </w:rPr>
        <w:t>8. Experiencia del proponente</w:t>
      </w:r>
    </w:p>
    <w:p>
      <w:r>
        <w:rPr>
          <w:b w:val="0"/>
          <w:i/>
          <w:color w:val="42506B"/>
          <w:sz w:val="22"/>
        </w:rPr>
        <w:t>Peso de evaluación: 10%.</w:t>
      </w:r>
    </w:p>
    <w:p>
      <w:pPr>
        <w:pStyle w:val="ListBullet"/>
      </w:pPr>
      <w:r>
        <w:t>Blue Label Technologies aporta +123 proyectos ejecutados en 25 organizaciones de sectores regulados (salud, manufactura, gobierno, financiero), con tres cartas de referencia comercial verificables: Medisinu IPS, Indigo Technologies y Cydesys/Cyberware.</w:t>
      </w:r>
    </w:p>
    <w:p>
      <w:pPr>
        <w:pStyle w:val="ListBullet"/>
      </w:pPr>
      <w:r>
        <w:t>Cydesys aporta más de 50 años de trayectoria, +1.800 clientes y +1.200 soluciones de infraestructura implementadas, con alianzas de fabricante de largo plazo (HPE, Dell, Lenovo, entre otros).</w:t>
      </w:r>
    </w:p>
    <w:p>
      <w:r>
        <w:rPr>
          <w:b/>
          <w:color w:val="A32F2F"/>
        </w:rPr>
        <w:t xml:space="preserve">⚠ ALERTA — </w:t>
      </w:r>
      <w:r>
        <w:rPr>
          <w:b w:val="0"/>
          <w:color w:val="A32F2F"/>
        </w:rPr>
        <w:t>Las tres cartas de referencia de BLT documentan experiencia en ciberseguridad gestionada (SOC, EDR, firewall), no específicamente en proyectos de virtualización/HCI o modernización de datacenter — el objeto puntual de este contrato. Se recomienda confirmar con la ECI si el criterio de experiencia exige coincidencia estricta de tipo de proyecto, y complementar con casos de éxito de Cydesys en implementaciones Sangfor si están disponibles.</w:t>
      </w:r>
    </w:p>
    <w:p>
      <w:r>
        <w:rPr>
          <w:b/>
          <w:color w:val="A32F2F"/>
        </w:rPr>
        <w:t xml:space="preserve">⚠ ALERTA — </w:t>
      </w:r>
      <w:r>
        <w:rPr>
          <w:b w:val="0"/>
          <w:color w:val="A32F2F"/>
        </w:rPr>
        <w:t>Cydesys no ha aportado todavía ninguna certificación de experiencia o de proyectos ejecutados bajo su propia razón social (Cyberware S.A.S.) — el TdR exige mínimo 3 clientes de los últimos 2 años con objeto, alcance, valor, fecha y contacto de verificación, por cada integrante de la Unión Temporal. Solicitar de inmediato a Christian/Cydesys.</w:t>
      </w:r>
    </w:p>
    <w:p>
      <w:r>
        <w:rPr>
          <w:b/>
          <w:color w:val="A32F2F"/>
        </w:rPr>
        <w:t xml:space="preserve">⚠ ALERTA — </w:t>
      </w:r>
      <w:r>
        <w:rPr>
          <w:b w:val="0"/>
          <w:color w:val="A32F2F"/>
        </w:rPr>
        <w:t>Faltan las hojas de vida y certificaciones vigentes del equipo técnico asignado al proyecto (BLT y Cydesys) — no recopiladas todavía.</w:t>
      </w:r>
    </w:p>
    <w:p>
      <w:r>
        <w:br w:type="page"/>
      </w:r>
    </w:p>
    <w:p>
      <w:pPr>
        <w:pStyle w:val="Heading1"/>
      </w:pPr>
      <w:r>
        <w:rPr>
          <w:color w:val="08387F"/>
          <w:sz w:val="36"/>
        </w:rPr>
        <w:t>9. Modelo comercial y valores agregados</w:t>
      </w:r>
    </w:p>
    <w:p>
      <w:r>
        <w:rPr>
          <w:b w:val="0"/>
          <w:i/>
          <w:color w:val="42506B"/>
          <w:sz w:val="22"/>
        </w:rPr>
        <w:t>Peso de evaluación: 5%.</w:t>
      </w:r>
    </w:p>
    <w:p>
      <w:pPr>
        <w:pStyle w:val="ListBullet"/>
      </w:pPr>
      <w:r>
        <w:t>Licenciamiento perpetuo u OpEx (suscripción) a elección de la Escuela — Sangfor no ha discontinuado la licencia perpetua, a diferencia de la política actual de VMware/Broadcom.</w:t>
      </w:r>
    </w:p>
    <w:p>
      <w:pPr>
        <w:pStyle w:val="ListBullet"/>
      </w:pPr>
      <w:r>
        <w:t>SkyOps: monitoreo de la plataforma asistido por inteligencia artificial, incluido en la licencia base.</w:t>
      </w:r>
    </w:p>
    <w:p>
      <w:pPr>
        <w:pStyle w:val="ListBullet"/>
      </w:pPr>
      <w:r>
        <w:t>Backup nativo incluido (Built-in Backup), sin necesidad de licenciar una herramienta de terceros aparte.</w:t>
      </w:r>
    </w:p>
    <w:p>
      <w:pPr>
        <w:pStyle w:val="ListBullet"/>
      </w:pPr>
      <w:r>
        <w:t>Certificaciones de la plataforma sin costo adicional para instituciones del sector educativo.</w:t>
      </w:r>
    </w:p>
    <w:p>
      <w:pPr>
        <w:pStyle w:val="Heading1"/>
      </w:pPr>
      <w:r>
        <w:rPr>
          <w:color w:val="08387F"/>
          <w:sz w:val="36"/>
        </w:rPr>
        <w:t>10. TCO a 5 años y Anexo 2</w:t>
      </w:r>
    </w:p>
    <w:p>
      <w:r>
        <w:rPr>
          <w:b w:val="0"/>
          <w:i/>
          <w:color w:val="42506B"/>
          <w:sz w:val="22"/>
        </w:rPr>
        <w:t>Peso de evaluación: 20% — segundo criterio de mayor peso del TdR.</w:t>
      </w:r>
    </w:p>
    <w:p>
      <w:r>
        <w:rPr>
          <w:b w:val="0"/>
          <w:i w:val="0"/>
          <w:sz w:val="22"/>
        </w:rPr>
        <w:t>La metodología de costo total de propiedad a 5 años está definida (categorías: hardware, licenciamiento, soporte, migración y capacitación, con IPC del 6% y TRM de $3.350 según el TdR). Las cifras económicas se presentan en el documento comercial reservado de la propuesta, conforme al formato oficial del Anexo 2.</w:t>
      </w:r>
    </w:p>
    <w:p>
      <w:r>
        <w:rPr>
          <w:b/>
          <w:color w:val="A32F2F"/>
        </w:rPr>
        <w:t xml:space="preserve">⚠ ALERTA — </w:t>
      </w:r>
      <w:r>
        <w:rPr>
          <w:b w:val="0"/>
          <w:color w:val="A32F2F"/>
        </w:rPr>
        <w:t>El Anexo 2 no puede diligenciarse en su versión definitiva hasta que la Unión Temporal confirme la decisión final entre la Opción A (HPE) y la Opción B (Dell) — ver Capítulo 3.4. Se recomienda cerrar esta decisión antes del 16 de septiembre de 2026.</w:t>
      </w:r>
    </w:p>
    <w:p>
      <w:pPr>
        <w:pStyle w:val="Heading1"/>
      </w:pPr>
      <w:r>
        <w:rPr>
          <w:color w:val="08387F"/>
          <w:sz w:val="36"/>
        </w:rPr>
        <w:t>11. Anexos de soporte</w:t>
      </w:r>
    </w:p>
    <w:p>
      <w:pPr>
        <w:pStyle w:val="ListBullet"/>
      </w:pPr>
      <w:r>
        <w:t>Anexo 2 — TCO a 5 años (pendiente de cifras finales, ver Capítulo 10).</w:t>
      </w:r>
    </w:p>
    <w:p>
      <w:pPr>
        <w:pStyle w:val="ListBullet"/>
      </w:pPr>
      <w:r>
        <w:t>Anexo 4 — Cuadro técnico de cumplimiento (contenido ya documentado; pendiente de transcripción al formato oficial del TdR).</w:t>
      </w:r>
    </w:p>
    <w:p>
      <w:r>
        <w:rPr>
          <w:b/>
          <w:color w:val="A32F2F"/>
        </w:rPr>
        <w:t xml:space="preserve">⚠ ALERTA — </w:t>
      </w:r>
      <w:r>
        <w:rPr>
          <w:b w:val="0"/>
          <w:color w:val="A32F2F"/>
        </w:rPr>
        <w:t>Anexo 4: transcribir el cumplimiento técnico ya documentado en esta propuesta al formato oficial exigido por el TdR antes del 7 de septiembre.</w:t>
      </w:r>
    </w:p>
    <w:p>
      <w:pPr>
        <w:pStyle w:val="ListBullet"/>
      </w:pPr>
      <w:r>
        <w:t>Anexo 5/6 — Compromiso de Integridad y Anticorrupción.</w:t>
      </w:r>
    </w:p>
    <w:p>
      <w:r>
        <w:rPr>
          <w:b/>
          <w:color w:val="A32F2F"/>
        </w:rPr>
        <w:t xml:space="preserve">⚠ ALERTA — </w:t>
      </w:r>
      <w:r>
        <w:rPr>
          <w:b w:val="0"/>
          <w:color w:val="A32F2F"/>
        </w:rPr>
        <w:t>Anexo 5/6: la plantilla existe pero no está diligenciada ni firmada por los representantes legales de BLT y Cydesys.</w:t>
      </w:r>
    </w:p>
    <w:p>
      <w:pPr>
        <w:pStyle w:val="ListBullet"/>
      </w:pPr>
      <w:r>
        <w:t>Carta de aval del fabricante Sangfor y de HPE a favor de la Unión Temporal.</w:t>
      </w:r>
    </w:p>
    <w:p>
      <w:r>
        <w:rPr>
          <w:b/>
          <w:color w:val="A32F2F"/>
        </w:rPr>
        <w:t xml:space="preserve">⚠ ALERTA — </w:t>
      </w:r>
      <w:r>
        <w:rPr>
          <w:b w:val="0"/>
          <w:color w:val="A32F2F"/>
        </w:rPr>
        <w:t>Ninguna de las dos cartas de aval (Sangfor, HPE) ha sido emitida todavía — solicitar de inmediato, el trámite puede tardar varios días hábiles.</w:t>
      </w:r>
    </w:p>
    <w:p>
      <w:pPr>
        <w:pStyle w:val="ListBullet"/>
      </w:pPr>
      <w:r>
        <w:t>Póliza de seriedad de la oferta (10% del valor del contrato), a nombre de la Unión Temporal completa como un solo tomador.</w:t>
      </w:r>
    </w:p>
    <w:p>
      <w:r>
        <w:rPr>
          <w:b/>
          <w:color w:val="A32F2F"/>
        </w:rPr>
        <w:t xml:space="preserve">⚠ ALERTA — </w:t>
      </w:r>
      <w:r>
        <w:rPr>
          <w:b w:val="0"/>
          <w:color w:val="A32F2F"/>
        </w:rPr>
        <w:t>La póliza de seriedad no existe ni tiene cotización — iniciar el trámite de inmediato con la aseguradora.</w:t>
      </w:r>
    </w:p>
    <w:p>
      <w:pPr>
        <w:pStyle w:val="ListBullet"/>
      </w:pPr>
      <w:r>
        <w:t>Hojas de vida del equipo técnico asignado (BLT + Cydesys), con certificaciones relevantes en Sangfor/virtualización.</w:t>
      </w:r>
    </w:p>
    <w:p>
      <w:pPr>
        <w:pStyle w:val="ListBullet"/>
      </w:pPr>
      <w:r>
        <w:t>Borrador de contrato con los productos y servicios ofertados (aplica al cierre del 16 de septiembre).</w:t>
      </w:r>
    </w:p>
    <w:p>
      <w:r>
        <w:br w:type="page"/>
      </w:r>
    </w:p>
    <w:p>
      <w:pPr>
        <w:pStyle w:val="Heading1"/>
      </w:pPr>
      <w:r>
        <w:rPr>
          <w:color w:val="08387F"/>
          <w:sz w:val="36"/>
        </w:rPr>
        <w:t>12. Resumen de riesgos y alertas de cierre</w:t>
      </w:r>
    </w:p>
    <w:p>
      <w:r>
        <w:rPr>
          <w:b/>
          <w:i w:val="0"/>
          <w:sz w:val="22"/>
        </w:rPr>
        <w:t>Consolidado de todas las alertas de este documento, para verificación final antes de radicar. No radicar la propuesta sin resolver o mitigar los ítems marcados como riesgo alto.</w:t>
      </w:r>
    </w:p>
    <w:p>
      <w:pPr>
        <w:pStyle w:val="Heading2"/>
      </w:pPr>
      <w:r>
        <w:rPr>
          <w:color w:val="0B5ED7"/>
          <w:sz w:val="27"/>
        </w:rPr>
        <w:t>Riesgo alto — bloqueante para el 7 de septiembre</w:t>
      </w:r>
    </w:p>
    <w:p>
      <w:pPr>
        <w:pStyle w:val="ListBullet"/>
      </w:pPr>
      <w:r>
        <w:rPr>
          <w:color w:val="A32F2F"/>
        </w:rPr>
        <w:t>Cámara de Comercio de Cydesys vencida para la fecha de cierre (36 días de antigüedad para el 16-sep, supera el límite de 30) — renovar antes de radicar.</w:t>
      </w:r>
    </w:p>
    <w:p>
      <w:pPr>
        <w:pStyle w:val="ListBullet"/>
      </w:pPr>
      <w:r>
        <w:rPr>
          <w:color w:val="A32F2F"/>
        </w:rPr>
        <w:t>Acuerdo formal de Unión Temporal — sin formalizar por escrito ni designar representante único todavía; la ECI lo exige informado "de manera clara y detallada junto con la propuesta técnica".</w:t>
      </w:r>
    </w:p>
    <w:p>
      <w:pPr>
        <w:pStyle w:val="ListBullet"/>
      </w:pPr>
      <w:r>
        <w:rPr>
          <w:color w:val="A32F2F"/>
        </w:rPr>
        <w:t>Anexo 4 — pendiente de transcribir al formato oficial del TdR (hoy plantilla en blanco).</w:t>
      </w:r>
    </w:p>
    <w:p>
      <w:pPr>
        <w:pStyle w:val="ListBullet"/>
      </w:pPr>
      <w:r>
        <w:rPr>
          <w:color w:val="A32F2F"/>
        </w:rPr>
        <w:t>Certificación de experiencia propia de Cydesys/Cyberware — no aportada; solo hay referencias de BLT.</w:t>
      </w:r>
    </w:p>
    <w:p>
      <w:pPr>
        <w:pStyle w:val="Heading2"/>
      </w:pPr>
      <w:r>
        <w:rPr>
          <w:color w:val="0B5ED7"/>
          <w:sz w:val="27"/>
        </w:rPr>
        <w:t>Riesgo medio — necesario antes del 16 de septiembre</w:t>
      </w:r>
    </w:p>
    <w:p>
      <w:pPr>
        <w:pStyle w:val="ListBullet"/>
      </w:pPr>
      <w:r>
        <w:rPr>
          <w:color w:val="B4560D"/>
        </w:rPr>
        <w:t>Estados financieros de PRUEBA/intermedios 2026 de BLT y de Cydesys — no aportados, solo los de cierre 2025 (ya verificados y legibles).</w:t>
      </w:r>
    </w:p>
    <w:p>
      <w:pPr>
        <w:pStyle w:val="ListBullet"/>
      </w:pPr>
      <w:r>
        <w:rPr>
          <w:color w:val="B4560D"/>
        </w:rPr>
        <w:t>Certificación bancaria, Contraloría y Procuraduría de Cydesys — aún pendientes de recibir/verificar (RUT y estados financieros 2025 ya verificados: legibles y completos).</w:t>
      </w:r>
    </w:p>
    <w:p>
      <w:pPr>
        <w:pStyle w:val="ListBullet"/>
      </w:pPr>
      <w:r>
        <w:rPr>
          <w:color w:val="B4560D"/>
        </w:rPr>
        <w:t>Póliza de seriedad de la oferta (10%) — no existe, iniciar cotización ya.</w:t>
      </w:r>
    </w:p>
    <w:p>
      <w:pPr>
        <w:pStyle w:val="ListBullet"/>
      </w:pPr>
      <w:r>
        <w:rPr>
          <w:color w:val="B4560D"/>
        </w:rPr>
        <w:t>Cartas de aval de Sangfor y de HPE — no emitidas.</w:t>
      </w:r>
    </w:p>
    <w:p>
      <w:pPr>
        <w:pStyle w:val="ListBullet"/>
      </w:pPr>
      <w:r>
        <w:rPr>
          <w:color w:val="B4560D"/>
        </w:rPr>
        <w:t>Compromiso de Integridad (Anexo 5/6) — sin firmar.</w:t>
      </w:r>
    </w:p>
    <w:p>
      <w:pPr>
        <w:pStyle w:val="ListBullet"/>
      </w:pPr>
      <w:r>
        <w:rPr>
          <w:color w:val="B4560D"/>
        </w:rPr>
        <w:t>Hojas de vida del equipo técnico (BLT + Cydesys) — no recopiladas.</w:t>
      </w:r>
    </w:p>
    <w:p>
      <w:pPr>
        <w:pStyle w:val="ListBullet"/>
      </w:pPr>
      <w:r>
        <w:rPr>
          <w:color w:val="B4560D"/>
        </w:rPr>
        <w:t>Decisión final HPE vs. Dell — pendiente, bloquea el diligenciamiento definitivo del Anexo 2.</w:t>
      </w:r>
    </w:p>
    <w:p>
      <w:pPr>
        <w:pStyle w:val="Heading2"/>
      </w:pPr>
      <w:r>
        <w:rPr>
          <w:color w:val="0B5ED7"/>
          <w:sz w:val="27"/>
        </w:rPr>
        <w:t>Riesgo de interpretación — a validar con la ECI, no bloqueante</w:t>
      </w:r>
    </w:p>
    <w:p>
      <w:pPr>
        <w:pStyle w:val="ListBullet"/>
      </w:pPr>
      <w:r>
        <w:rPr>
          <w:color w:val="B4560D"/>
        </w:rPr>
        <w:t>Las referencias de experiencia de BLT son de ciberseguridad, no de virtualización/HCI — confirmar si el criterio exige coincidencia estricta de tipo de proyecto.</w:t>
      </w:r>
    </w:p>
    <w:p>
      <w:pPr>
        <w:pStyle w:val="ListBullet"/>
      </w:pPr>
      <w:r>
        <w:rPr>
          <w:color w:val="B4560D"/>
        </w:rPr>
        <w:t>La Opción B (Dell) no cumple literalmente Gen5+/DDR5 del Anexo 4 — se presenta con la advertencia explícita para que la ECI decida con información completa.</w:t>
      </w:r>
    </w:p>
    <w:p>
      <w:pPr>
        <w:pStyle w:val="ListBullet"/>
      </w:pPr>
      <w:r>
        <w:rPr>
          <w:color w:val="B4560D"/>
        </w:rPr>
        <w:t>El TdR usa literalmente el término "hiperconvergencia (HCI)" mientras la arquitectura propuesta es virtualización tradicional con SAN externa — coherente con la respuesta escrita de la ECI del 2-sep, pero debe citarse explícitamente en la carta de presentación para evitar objeciones del comité.</w:t>
      </w:r>
    </w:p>
    <w:p>
      <w:pPr>
        <w:pStyle w:val="Heading2"/>
      </w:pPr>
      <w:r>
        <w:rPr>
          <w:color w:val="0B5ED7"/>
          <w:sz w:val="27"/>
        </w:rPr>
        <w:t>Documento a descartar</w:t>
      </w:r>
    </w:p>
    <w:p>
      <w:pPr>
        <w:pStyle w:val="ListBullet"/>
      </w:pPr>
      <w:r>
        <w:rPr>
          <w:color w:val="B4560D"/>
        </w:rPr>
        <w:t>Formulario de vinculación del mayorista Adistec con datos financieros de BLT de 2022, hallado en el repositorio de trabajo — no pertenece a este proceso, no sustituye los estados financieros exigidos por la ECI y no debe incluirse en la propuesta radicada.</w:t>
      </w:r>
    </w:p>
    <w:p>
      <w:pPr>
        <w:pStyle w:val="Heading2"/>
      </w:pPr>
      <w:r>
        <w:rPr>
          <w:color w:val="0B5ED7"/>
          <w:sz w:val="27"/>
        </w:rPr>
        <w:t>Sin riesgo — contenido técnico completo</w:t>
      </w:r>
    </w:p>
    <w:p>
      <w:pPr>
        <w:pStyle w:val="ListBullet"/>
      </w:pPr>
      <w:r>
        <w:rPr>
          <w:color w:val="12805A"/>
        </w:rPr>
        <w:t>Arquitectura de la solución, continuidad/migración, HA/DR y seguridad, ANS/SLA, modelo comercial: 100% documentados y listos.</w:t>
      </w:r>
    </w:p>
    <w:p>
      <w:pPr>
        <w:pStyle w:val="Heading2"/>
      </w:pPr>
      <w:r>
        <w:rPr>
          <w:color w:val="0B5ED7"/>
          <w:sz w:val="27"/>
        </w:rPr>
        <w:t>Resuelto en esta actualización (5-sep)</w:t>
      </w:r>
    </w:p>
    <w:p>
      <w:pPr>
        <w:pStyle w:val="ListBullet"/>
      </w:pPr>
      <w:r>
        <w:rPr>
          <w:color w:val="12805A"/>
        </w:rPr>
        <w:t>Cámara de Comercio, RUT y certificación bancaria de BLT — renovados el 26 de agosto de 2026, vigentes dentro del límite de 30 días.</w:t>
      </w:r>
    </w:p>
    <w:p>
      <w:pPr>
        <w:pStyle w:val="ListBullet"/>
      </w:pPr>
      <w:r>
        <w:rPr>
          <w:color w:val="12805A"/>
        </w:rPr>
        <w:t>Cédula del representante legal de BLT — verificada, escaneo legible y vigente hasta 2034 (el problema anterior era un fallo de conversión automática, no un documento faltante).</w:t>
      </w:r>
    </w:p>
    <w:p>
      <w:pPr>
        <w:pStyle w:val="ListBullet"/>
      </w:pPr>
      <w:r>
        <w:rPr>
          <w:color w:val="12805A"/>
        </w:rPr>
        <w:t>Estados financieros 2025 de BLT — verificados, contenido completo y legible, firmados por el representante legal y el contador público.</w:t>
      </w:r>
    </w:p>
    <w:p>
      <w:pPr>
        <w:pStyle w:val="ListBullet"/>
      </w:pPr>
      <w:r>
        <w:rPr>
          <w:color w:val="12805A"/>
        </w:rPr>
        <w:t>Nuevo certificado de antecedentes de la Policía Nacional del representante legal — sin antecedentes penales ni requerimientos judiciales.</w:t>
      </w:r>
    </w:p>
    <w:p>
      <w:pPr>
        <w:pStyle w:val="ListBullet"/>
      </w:pPr>
      <w:r>
        <w:rPr>
          <w:color w:val="12805A"/>
        </w:rPr>
        <w:t>RUT de Cydesys/Cyberware — actualizado (11-ago-2026), verificado.</w:t>
      </w:r>
    </w:p>
    <w:p>
      <w:pPr>
        <w:pStyle w:val="ListBullet"/>
      </w:pPr>
      <w:r>
        <w:rPr>
          <w:color w:val="12805A"/>
        </w:rPr>
        <w:t>Estados financieros 2025 de Cydesys/Cyberware — verificados, contenido completo y legible, firmados por el representante legal y el contador público.</w:t>
      </w:r>
    </w:p>
    <w:p/>
    <w:p>
      <w:r>
        <w:rPr>
          <w:i/>
          <w:color w:val="42506B"/>
          <w:sz w:val="18"/>
        </w:rPr>
        <w:t>Documento generado por Blue Label Technologies el 5 de septiembre de 2026, para uso interno de la Unión Temporal BLT–Cydesys. Verificar el Capítulo 12 completo antes de radicar la versión final ante la Escuela Colombiana de Ingeniería Julio Garavito.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41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