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灵鱿客户对接差异说明</w:t>
      </w:r>
    </w:p>
    <w:p/>
    <w:p>
      <w:r>
        <w:rPr>
          <w:b/>
        </w:rPr>
        <w:t>文档性质</w:t>
      </w:r>
      <w:r>
        <w:rPr>
          <w:b w:val="0"/>
        </w:rPr>
        <w:t>：商务 / 对外技术说明（非内部开发规范）</w:t>
      </w:r>
    </w:p>
    <w:p>
      <w:r>
        <w:rPr>
          <w:b/>
        </w:rPr>
        <w:t>适用对象</w:t>
      </w:r>
      <w:r>
        <w:rPr>
          <w:b w:val="0"/>
        </w:rPr>
        <w:t>：灵鱿客户、商务、售前、联调对接人员</w:t>
      </w:r>
    </w:p>
    <w:p>
      <w:r>
        <w:rPr>
          <w:b/>
        </w:rPr>
        <w:t>内部依据</w:t>
      </w:r>
      <w:r>
        <w:rPr>
          <w:b w:val="0"/>
        </w:rPr>
        <w:t>：《云平台-机器人通信协议 V1.0.0（内部标准版）》</w:t>
      </w:r>
    </w:p>
    <w:p>
      <w:r>
        <w:rPr>
          <w:b/>
        </w:rPr>
        <w:t>客户文档</w:t>
      </w:r>
      <w:r>
        <w:rPr>
          <w:b w:val="0"/>
        </w:rPr>
        <w:t>：《云平台-机器人通信协议 V1.0.0 通信协议-灵鱿(2).pdf》、重点版 docx</w:t>
      </w:r>
    </w:p>
    <w:p/>
    <w:p>
      <w:pPr>
        <w:pStyle w:val="Heading2"/>
      </w:pPr>
      <w:r>
        <w:t>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日期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版本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2026-06-26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首版：灵鱿协议与内部标准差异、对接口径、联调范围</w:t>
            </w:r>
          </w:p>
        </w:tc>
      </w:tr>
    </w:tbl>
    <w:p/>
    <w:p/>
    <w:p>
      <w:pPr>
        <w:pStyle w:val="Heading2"/>
      </w:pPr>
      <w:r>
        <w:t>1. 文档定位</w:t>
      </w:r>
    </w:p>
    <w:p>
      <w:r>
        <w:rPr>
          <w:b w:val="0"/>
        </w:rPr>
        <w:t>本文档说明：</w:t>
      </w:r>
      <w:r>
        <w:rPr>
          <w:b/>
        </w:rPr>
        <w:t>我方内部标准</w:t>
      </w:r>
      <w:r>
        <w:rPr>
          <w:b w:val="0"/>
        </w:rPr>
        <w:t>与</w:t>
      </w:r>
      <w:r>
        <w:rPr>
          <w:b/>
        </w:rPr>
        <w:t>灵鱿客户协议</w:t>
      </w:r>
      <w:r>
        <w:rPr>
          <w:b w:val="0"/>
        </w:rPr>
        <w:t>之间的差异，以及对外承诺边界。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文档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角色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灵鱿 PDF / 重点版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客户侧联调最小集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内部标准版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我方云 + 车端实际实现依据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本文档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两者之间的「翻译层」，供商务沟通与验收对齐</w:t>
            </w:r>
          </w:p>
        </w:tc>
      </w:tr>
    </w:tbl>
    <w:p/>
    <w:p>
      <w:r>
        <w:rPr>
          <w:b/>
        </w:rPr>
        <w:t>对外统一口径</w:t>
      </w:r>
      <w:r>
        <w:rPr>
          <w:b w:val="0"/>
        </w:rPr>
        <w:t>：</w:t>
      </w:r>
    </w:p>
    <w:p>
      <w:r>
        <w:rPr>
          <w:b w:val="0"/>
        </w:rPr>
        <w:t>我方云平台完整支持《车辆 IOT 实现方案》MQTT 标准接口，并兼容灵鱿联调所需最小指令集；导航、建图、高精度定位由车端软件完成，云平台不参与路径规划与地图管理。</w:t>
      </w:r>
    </w:p>
    <w:p/>
    <w:p>
      <w:pPr>
        <w:pStyle w:val="Heading2"/>
      </w:pPr>
      <w:r>
        <w:t>2. 协议覆盖范围对比</w:t>
      </w:r>
    </w:p>
    <w:p>
      <w:pPr>
        <w:pStyle w:val="Heading3"/>
      </w:pPr>
      <w:r>
        <w:t>2.1 指令 type 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type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名称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灵鱿 PDF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我方内部标准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对接说明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1010001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状态上报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字段语义有差异，见 §3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1010002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本地任务列表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一致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1010003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重点版误标「故障」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不定义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故障请用 1010004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1010004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故障状态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我方完整支持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1010005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避障/重规划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不支持（车端）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不对客户承诺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2010001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下发任务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任务结构有差异，见 §3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2010002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修改参数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灵鱿仅 flat；我方可拓展 target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2010003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通知出货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我方额外支持，灵鱿项目按需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2010004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开启视频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一致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2010005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遥控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一致（IOT 基础字段）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2010006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查看配置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我方额外支持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2010007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获取点位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我方返回点位名称列表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2010008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紧急开关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一致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2010009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任务控制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暂停/恢复/停止，灵鱿联调可协商开放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2010010~12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定位/建图/地图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不支持（车端）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20"/>
              </w:rPr>
              <w:t>不对客户承诺云平台能力</w:t>
            </w:r>
          </w:p>
        </w:tc>
      </w:tr>
    </w:tbl>
    <w:p/>
    <w:p>
      <w:pPr>
        <w:pStyle w:val="Heading3"/>
      </w:pPr>
      <w:r>
        <w:t>2.2 能力承诺矩阵（对外）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能力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是否承诺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MQTT 连接 / 上下线 / 认证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是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与 IOT 标准一致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1Hz 状态监控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是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1010001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故障告警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是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1010004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任务下发（站点名）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是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2010001，云维护站点名称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任务暂停/恢复/停止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协商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2010009，建议纳入二期联调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视频推流控制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是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2010004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远程遥控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是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2010005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紧急停止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是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2010008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云平台维护导航坐标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否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坐标由车端点位库管理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云平台建图/地图同步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否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车端本地完成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10Hz 高频定位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否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如需轨迹，协商 1010001 拓展或专项方案</w:t>
            </w:r>
          </w:p>
        </w:tc>
      </w:tr>
    </w:tbl>
    <w:p/>
    <w:p/>
    <w:p>
      <w:pPr>
        <w:pStyle w:val="Heading2"/>
      </w:pPr>
      <w:r>
        <w:t>3. 关键字段差异与映射</w:t>
      </w:r>
    </w:p>
    <w:p>
      <w:pPr>
        <w:pStyle w:val="Heading3"/>
      </w:pPr>
      <w:r>
        <w:t>3.1 position（位置）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灵鱿 PDF / 重点版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我方内部标准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`"x,y,yaw"`（米、弧度）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`"经度,纬度"`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示例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`"114.05,22.50,3.14"`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`"114.05129,22.508236"`</w:t>
            </w:r>
          </w:p>
        </w:tc>
      </w:tr>
    </w:tbl>
    <w:p/>
    <w:p>
      <w:r>
        <w:rPr>
          <w:b/>
        </w:rPr>
        <w:t>对接方案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云平台存储与展示：</w:t>
      </w:r>
      <w:r>
        <w:rPr>
          <w:b/>
        </w:rPr>
        <w:t>经度,纬度</w:t>
      </w:r>
      <w:r>
        <w:rPr>
          <w:b w:val="0"/>
        </w:rPr>
        <w:t>（WGS84 或项目约定坐标系）。</w:t>
      </w:r>
    </w:p>
    <w:p>
      <w:pPr>
        <w:pStyle w:val="ListBullet"/>
      </w:pPr>
      <w:r>
        <w:rPr>
          <w:b w:val="0"/>
        </w:rPr>
        <w:t>车端 MQTT 适配层负责与灵鱿格式的</w:t>
      </w:r>
      <w:r>
        <w:rPr>
          <w:b/>
        </w:rPr>
        <w:t>双向转换</w:t>
      </w:r>
      <w:r>
        <w:rPr>
          <w:b w:val="0"/>
        </w:rPr>
        <w:t>（若客户平台仍发送 x,y,yaw）。</w:t>
      </w:r>
    </w:p>
    <w:p>
      <w:pPr>
        <w:pStyle w:val="ListBullet"/>
      </w:pPr>
      <w:r>
        <w:rPr>
          <w:b w:val="0"/>
        </w:rPr>
        <w:t>商务说明：*「位置信息语义一致，传输格式由车端适配层统一转换，客户无需改造已有解析逻辑。」*</w:t>
      </w:r>
    </w:p>
    <w:p>
      <w:pPr>
        <w:pStyle w:val="Heading3"/>
      </w:pPr>
      <w:r>
        <w:t>3.2 workStatus（作业状态）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值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灵鱿 PDF / 重点版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我方内部标准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映射建议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0"/>
              </w:rPr>
              <w:t>空闲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0"/>
              </w:rPr>
              <w:t>空闲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0"/>
              </w:rPr>
              <w:t>一致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0"/>
              </w:rPr>
              <w:t>任务中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0"/>
              </w:rPr>
              <w:t>任务中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0"/>
              </w:rPr>
              <w:t>一致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暂停中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故障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0"/>
              </w:rPr>
              <w:t>需映射：我方 fault→客户侧展示为故障，非暂停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故障中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充电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0"/>
              </w:rPr>
              <w:t>需映射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开机初始化中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急停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0"/>
              </w:rPr>
              <w:t>需映射</w:t>
            </w:r>
          </w:p>
        </w:tc>
      </w:tr>
    </w:tbl>
    <w:p/>
    <w:p>
      <w:r>
        <w:rPr>
          <w:b/>
        </w:rPr>
        <w:t>对接方案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 xml:space="preserve">联调前提供 </w:t>
      </w:r>
      <w:r>
        <w:rPr>
          <w:b/>
        </w:rPr>
        <w:t>workStatus 映射表</w:t>
      </w:r>
      <w:r>
        <w:rPr>
          <w:b w:val="0"/>
        </w:rPr>
        <w:t>（Excel/附录），双方测试用例对齐。</w:t>
      </w:r>
    </w:p>
    <w:p>
      <w:pPr>
        <w:pStyle w:val="ListBullet"/>
      </w:pPr>
      <w:r>
        <w:rPr>
          <w:b w:val="0"/>
        </w:rPr>
        <w:t>若客户 UI 依赖「暂停=2」，可通过车端上报前转换，或客户侧按映射表解析。</w:t>
      </w:r>
    </w:p>
    <w:p>
      <w:pPr>
        <w:pStyle w:val="Heading3"/>
      </w:pPr>
      <w:r>
        <w:t>3.3 2010001 任务下发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灵鱿 PDF / 重点版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我方内部标准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taskNodes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含 x/y/z/w 坐标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仅站点名 + duration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returnPoint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tasktype + 坐标结构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返航点名称字符串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taskSteps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未定义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云不支持，车端可选</w:t>
            </w:r>
          </w:p>
        </w:tc>
      </w:tr>
    </w:tbl>
    <w:p/>
    <w:p>
      <w:r>
        <w:rPr>
          <w:b/>
        </w:rPr>
        <w:t>对接方案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云平台任务编排界面：</w:t>
      </w:r>
      <w:r>
        <w:rPr>
          <w:b/>
        </w:rPr>
        <w:t>只维护站点名称</w:t>
      </w:r>
      <w:r>
        <w:rPr>
          <w:b w:val="0"/>
        </w:rPr>
        <w:t>，不维护坐标。</w:t>
      </w:r>
    </w:p>
    <w:p>
      <w:pPr>
        <w:pStyle w:val="ListBullet"/>
      </w:pPr>
      <w:r>
        <w:rPr>
          <w:b w:val="0"/>
        </w:rPr>
        <w:t>车端维护「站点名 ↔ 坐标」点位库；收到 2010001 后本地解析并执行导航。</w:t>
      </w:r>
    </w:p>
    <w:p>
      <w:pPr>
        <w:pStyle w:val="ListBullet"/>
      </w:pPr>
      <w:r>
        <w:rPr>
          <w:b w:val="0"/>
        </w:rPr>
        <w:t>若客户平台</w:t>
      </w:r>
      <w:r>
        <w:rPr>
          <w:b/>
        </w:rPr>
        <w:t>必须下发坐标</w:t>
      </w:r>
      <w:r>
        <w:rPr>
          <w:b w:val="0"/>
        </w:rPr>
        <w:t>：由车端 MQTT 适配层接收并转换，</w:t>
      </w:r>
      <w:r>
        <w:rPr>
          <w:b/>
        </w:rPr>
        <w:t>不要求云平台存储或编辑坐标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商务说明：*「任务下发接口兼容灵鱿 格式；坐标数据可在车端落地，云平台以站点名称驱动任务编排。」*</w:t>
      </w:r>
    </w:p>
    <w:p>
      <w:pPr>
        <w:pStyle w:val="Heading3"/>
      </w:pPr>
      <w:r>
        <w:t>3.4 故障 type 编号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文档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故障 type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灵鱿 重点版（笔误）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1010003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灵鱿 PDF / 我方标准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1010004</w:t>
            </w:r>
          </w:p>
        </w:tc>
      </w:tr>
    </w:tbl>
    <w:p/>
    <w:p>
      <w:r>
        <w:rPr>
          <w:b/>
        </w:rPr>
        <w:t>对接方案</w:t>
      </w:r>
      <w:r>
        <w:rPr>
          <w:b w:val="0"/>
        </w:rPr>
        <w:t xml:space="preserve">：联调与验收统一使用 </w:t>
      </w:r>
      <w:r>
        <w:rPr>
          <w:b/>
        </w:rPr>
        <w:t>1010004</w:t>
      </w:r>
      <w:r>
        <w:rPr>
          <w:b w:val="0"/>
        </w:rPr>
        <w:t>；书面纠正重点版笔误。</w:t>
      </w:r>
    </w:p>
    <w:p/>
    <w:p>
      <w:pPr>
        <w:pStyle w:val="Heading2"/>
      </w:pPr>
      <w:r>
        <w:t>4. 联调最小集 vs 完整能力</w:t>
      </w:r>
    </w:p>
    <w:p>
      <w:pPr>
        <w:pStyle w:val="Heading3"/>
      </w:pPr>
      <w:r>
        <w:t>4.1 灵鱿联调最小集（客户 PDF 范围）</w:t>
      </w:r>
    </w:p>
    <w:p>
      <w:r>
        <w:rPr>
          <w:b w:val="0"/>
        </w:rPr>
        <w:t>客户 PDF 定义的联调 type：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sz w:val="18"/>
        </w:rPr>
        <w:t>上报：1010001、1010002、1010004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sz w:val="18"/>
        </w:rPr>
        <w:t>下发：2010001、2010002、2010004、2010005、2010008</w:t>
      </w:r>
    </w:p>
    <w:p>
      <w:pPr>
        <w:pStyle w:val="Heading3"/>
      </w:pPr>
      <w:r>
        <w:t>4.2 我方建议联调范围（灵鱿 项目）</w:t>
      </w:r>
    </w:p>
    <w:p>
      <w:r>
        <w:rPr>
          <w:b w:val="0"/>
        </w:rPr>
        <w:t>在最小集基础上，建议纳入：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type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2010009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运营暂停/恢复，客户运维常用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2010007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点位名称同步，与任务编排配合</w:t>
            </w:r>
          </w:p>
        </w:tc>
      </w:tr>
    </w:tbl>
    <w:p/>
    <w:p>
      <w:r>
        <w:rPr>
          <w:b w:val="0"/>
        </w:rPr>
        <w:t>不纳入云平台联调：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type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1010003/5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导航相关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2010010~12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建图/定位/地图，车端本地</w:t>
            </w:r>
          </w:p>
        </w:tc>
      </w:tr>
    </w:tbl>
    <w:p/>
    <w:p/>
    <w:p>
      <w:pPr>
        <w:pStyle w:val="Heading2"/>
      </w:pPr>
      <w:r>
        <w:t>5. 验收建议</w:t>
      </w:r>
    </w:p>
    <w:p>
      <w:pPr>
        <w:pStyle w:val="Heading3"/>
      </w:pPr>
      <w:r>
        <w:t>5.1 必测项（P0）</w:t>
      </w:r>
    </w:p>
    <w:p>
      <w:pPr>
        <w:pStyle w:val="ListBullet"/>
      </w:pPr>
      <w:r>
        <w:rPr>
          <w:b w:val="0"/>
        </w:rPr>
        <w:t>☐ 车辆注册、MQTT 连接、上下线</w:t>
      </w:r>
    </w:p>
    <w:p>
      <w:pPr>
        <w:pStyle w:val="ListBullet"/>
      </w:pPr>
      <w:r>
        <w:rPr>
          <w:b w:val="0"/>
        </w:rPr>
        <w:t>☐ 1010001 状态 1Hz 上报（position 格式按映射表）</w:t>
      </w:r>
    </w:p>
    <w:p>
      <w:pPr>
        <w:pStyle w:val="ListBullet"/>
      </w:pPr>
      <w:r>
        <w:rPr>
          <w:b w:val="0"/>
        </w:rPr>
        <w:t>☐ 2010001 任务下发（站点名模式）及 dev/reply</w:t>
      </w:r>
    </w:p>
    <w:p>
      <w:pPr>
        <w:pStyle w:val="ListBullet"/>
      </w:pPr>
      <w:r>
        <w:rPr>
          <w:b w:val="0"/>
        </w:rPr>
        <w:t>☐ 2010004 视频开关 + 周期心跳</w:t>
      </w:r>
    </w:p>
    <w:p>
      <w:pPr>
        <w:pStyle w:val="ListBullet"/>
      </w:pPr>
      <w:r>
        <w:rPr>
          <w:b w:val="0"/>
        </w:rPr>
        <w:t>☐ 2010005 遥控（无需 reply）</w:t>
      </w:r>
    </w:p>
    <w:p>
      <w:pPr>
        <w:pStyle w:val="ListBullet"/>
      </w:pPr>
      <w:r>
        <w:rPr>
          <w:b w:val="0"/>
        </w:rPr>
        <w:t>☐ 2010008 紧急停止 / 解除</w:t>
      </w:r>
    </w:p>
    <w:p>
      <w:pPr>
        <w:pStyle w:val="ListBullet"/>
      </w:pPr>
      <w:r>
        <w:rPr>
          <w:b w:val="0"/>
        </w:rPr>
        <w:t>☐ 1010002 任务列表上报 + 云确认</w:t>
      </w:r>
    </w:p>
    <w:p>
      <w:pPr>
        <w:pStyle w:val="Heading3"/>
      </w:pPr>
      <w:r>
        <w:t>5.2 建议测项（P1）</w:t>
      </w:r>
    </w:p>
    <w:p>
      <w:pPr>
        <w:pStyle w:val="ListBullet"/>
      </w:pPr>
      <w:r>
        <w:rPr>
          <w:b w:val="0"/>
        </w:rPr>
        <w:t>☐ 1010004 故障上报与告警</w:t>
      </w:r>
    </w:p>
    <w:p>
      <w:pPr>
        <w:pStyle w:val="ListBullet"/>
      </w:pPr>
      <w:r>
        <w:rPr>
          <w:b w:val="0"/>
        </w:rPr>
        <w:t>☐ 2010009 任务暂停 / 恢复 / 停止</w:t>
      </w:r>
    </w:p>
    <w:p>
      <w:pPr>
        <w:pStyle w:val="ListBullet"/>
      </w:pPr>
      <w:r>
        <w:rPr>
          <w:b w:val="0"/>
        </w:rPr>
        <w:t>☐ 2010002 target 控制（GIMBAL / AUDIO，见内部标准 §9.2）</w:t>
      </w:r>
    </w:p>
    <w:p>
      <w:pPr>
        <w:pStyle w:val="Heading3"/>
      </w:pPr>
      <w:r>
        <w:t>5.3 不验收项（车端能力）</w:t>
      </w:r>
    </w:p>
    <w:p>
      <w:pPr>
        <w:pStyle w:val="ListBullet"/>
      </w:pPr>
      <w:r>
        <w:rPr>
          <w:b w:val="0"/>
        </w:rPr>
        <w:t>建图、地图同步、定位校准</w:t>
      </w:r>
    </w:p>
    <w:p>
      <w:pPr>
        <w:pStyle w:val="ListBullet"/>
      </w:pPr>
      <w:r>
        <w:rPr>
          <w:b w:val="0"/>
        </w:rPr>
        <w:t>10Hz 高频定位</w:t>
      </w:r>
    </w:p>
    <w:p>
      <w:pPr>
        <w:pStyle w:val="ListBullet"/>
      </w:pPr>
      <w:r>
        <w:rPr>
          <w:b w:val="0"/>
        </w:rPr>
        <w:t>云平台维护 taskNodes 坐标</w:t>
      </w:r>
    </w:p>
    <w:p>
      <w:pPr>
        <w:pStyle w:val="ListBullet"/>
      </w:pPr>
      <w:r>
        <w:rPr>
          <w:b w:val="0"/>
        </w:rPr>
        <w:t>taskSteps 组合任务编排 UI</w:t>
      </w:r>
    </w:p>
    <w:p/>
    <w:p>
      <w:pPr>
        <w:pStyle w:val="Heading2"/>
      </w:pPr>
      <w:r>
        <w:t>6. 商务话术参考</w:t>
      </w:r>
    </w:p>
    <w:p>
      <w:pPr>
        <w:pStyle w:val="Heading3"/>
      </w:pPr>
      <w:r>
        <w:t>6.1 客户问：「为什么云平台不下发坐标？」</w:t>
      </w:r>
    </w:p>
    <w:p>
      <w:r>
        <w:rPr>
          <w:b w:val="0"/>
        </w:rPr>
        <w:t>任务坐标属于车端导航数据，由车辆本地点位库统一管理，可保证离线/弱网场景下任务仍可执行。云平台通过站点名称下发任务，与 IOT 行业标准一致，同时车端适配层可兼容灵鱿 协议中的坐标字段。</w:t>
      </w:r>
    </w:p>
    <w:p>
      <w:pPr>
        <w:pStyle w:val="Heading3"/>
      </w:pPr>
      <w:r>
        <w:t>6.2 客户问：「workStatus 枚举不一致怎么办？」</w:t>
      </w:r>
    </w:p>
    <w:p>
      <w:r>
        <w:rPr>
          <w:b w:val="0"/>
        </w:rPr>
        <w:t>双方在联调前确认映射表；车端可在上报前做枚举转换，确保客户监控大屏正常展示，无需改动云平台核心逻辑。</w:t>
      </w:r>
    </w:p>
    <w:p>
      <w:pPr>
        <w:pStyle w:val="Heading3"/>
      </w:pPr>
      <w:r>
        <w:t>6.3 客户问：「是否支持 AGV 文档里的建图/地图同步？」</w:t>
      </w:r>
    </w:p>
    <w:p>
      <w:r>
        <w:rPr>
          <w:b w:val="0"/>
        </w:rPr>
        <w:t>建图与地图管理属于车端自动驾驶软件能力，不在云平台 MQTT 接口范围内。如需远程运维，可单独评估运维工具或 VPN 方案，不纳入标准 MQTT 协议验收。</w:t>
      </w:r>
    </w:p>
    <w:p>
      <w:pPr>
        <w:pStyle w:val="Heading3"/>
      </w:pPr>
      <w:r>
        <w:t>6.4 客户问：「1010003 是故障还是定位？」</w:t>
      </w:r>
    </w:p>
    <w:p>
      <w:r>
        <w:rPr>
          <w:b w:val="0"/>
        </w:rPr>
        <w:t>以 1010004 作为故障上报 type；1010003 不在标准联调范围内。重点版 docx 中 1010003 标注为故障属于文档笔误，联调以 PDF 及本文档为准。</w:t>
      </w:r>
    </w:p>
    <w:p/>
    <w:p>
      <w:pPr>
        <w:pStyle w:val="Heading2"/>
      </w:pPr>
      <w:r>
        <w:t>7. 联系人 &amp; 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文档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用途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受众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灵鱿 PDF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客户联调依据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客户 + 我方联调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内部标准版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开发规范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内部研发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本文档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差异说明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商务 + 售前 + 联调负责人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AGV通信协议/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车端 bridge 参考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车端研发</w:t>
            </w:r>
          </w:p>
        </w:tc>
      </w:tr>
    </w:tbl>
    <w:p/>
    <w:p/>
    <w:p>
      <w:r>
        <w:rPr>
          <w:b w:val="0"/>
        </w:rPr>
        <w:t>*本文档随内部标准版迭代更新；对外发放前请商务确认项目特殊条款。*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