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A56DB"/>
          <w:sz w:val="48"/>
          <w:szCs w:val="48"/>
        </w:rPr>
        <w:t xml:space="preserve">BIM WEALTH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Technical Architecture &amp; System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 — February 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Prepared by ADHOCON GmbH</w:t>
      </w:r>
    </w:p>
    <w:p>
      <w:pPr>
        <w:jc w:val="center"/>
      </w:pPr>
      <w:r>
        <w:rPr>
          <w:rFonts w:ascii="Calibri" w:cs="Calibri" w:eastAsia="Calibri" w:hAnsi="Calibri"/>
          <w:color w:val="1A56DB"/>
          <w:sz w:val="20"/>
          <w:szCs w:val="20"/>
        </w:rPr>
        <w:t xml:space="preserve">FCA • BaFin • UK GDPR • EU GDPR Compliant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This document specifies the technical architecture for the BIM Wealth Platform, a comprehensive digital wealth management system designed to serve UK and EU clients across the full spectrum of financial products and advisory services.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platform combines institutional-grade security with modern fintech user experience, leveraging AI automation, biometric authentication (voice and facial recognition), and a hybrid advisory model that seamlessly blends AI-powered assistance with human financial advisors.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Key design principles include FCA Handbook and BaFin regulatory compliance from the ground up, white-label integration of third-party services, maximum automation of routine processes, and a client-centric approach that maximises lifetime value through intelligent cross-selling and personalised engagement.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 System Architecture Overview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platform follows a microservices architecture deployed on cloud infrastructure (AWS/Azure) with the following core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Presentation Layer: React-based SPA with responsive design, progressive web app capabilities, and native mobile wrappers (iOS/Android via Capacitor)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API Gateway: Kong/AWS API Gateway with rate limiting, authentication, and request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Service Layer: Containerised microservices (Kubernetes) for each domain — Accounts, Products, Advisory, Compliance, Reporting,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AI/ML Layer: Dedicated inference cluster for conversational AI (Claude API), voice recognition, facial recognition, risk profiling, and recommendation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Data Layer: PostgreSQL for transactional data, Redis for caching/sessions, Elasticsearch for search/audit, S3 for document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Integration Layer: Message broker (RabbitMQ/Kafka) for event-driven communication between services and external partner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Security Layer: Zero-trust architecture with mTLS, encrypted at rest (AES-256) and in transit (TLS 1.3), HSM for key management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 Product &amp; Service Matrix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platform supports the following financial products and services, each implemented as a configurable module within the product service: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Retirement Account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Pensions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Tax-efficient wrapper, contributions, drawdown from 55+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Trustee Investment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Pensions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Transfer consolidation, adviser-led selection, rebalancing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Investment Bond (UK)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Flexible access, fund switching, tax planning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Stocks &amp; Shares ISA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ISA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ISA allowance tracking, gains/income tax-free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Junior ISA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ISA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Minor beneficiary, adviser-guided selection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Unit Trusts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Pooled funds, daily valuation, full liquidity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DFM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Managed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Tailored risk profiles, ongoing rebalancing, strategic allocation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International Bond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Cross-border wrapper, multi-jurisdiction planning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Gift &amp; IHT Plans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Estate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IHT reduction, 7-year taper, later life planning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Loan Plan / Trustee Bond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Estate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Intra-family lending, controlled legacy distribution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Beneficiary Income Plan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Estate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Regular income for nominated beneficiaries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Protection &amp; Insurance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Protection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Life, CI, income protection via partner insurers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Workplace Pensions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Corporate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Auto-enrolment, salary sacrifice, employer matching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Financial Advice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Advisory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1-to-1 adviser, ongoing reviews, holistic planning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Cash Management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Savings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Flagstone integration, multi-bank deposits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Philanthropy Planning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Legacy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CAF partnership, structured giving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Tax-Advantaged (EIS/VCT)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Albion, Downing, Octopus, Mercia fund access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Mortgages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Lending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Broker referral, plan-compatible sourcing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 AI &amp; Automation Architecture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AI layer is a central differentiator, handling client interactions, compliance checks, and advisory support. It operates across three tiers:</w:t>
      </w:r>
    </w:p>
    <w:p>
      <w:pPr>
        <w:pStyle w:val="Heading3"/>
      </w:pPr>
      <w:r>
        <w:t xml:space="preserve">4.1 Conversational AI (Client-Facing)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Powered by Anthropic Claude API for natural language understanding and financial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Context-aware responses drawing on client portfolio, risk profile, and regulatory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Seamless handoff to human advisor with full conversation context preserved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Multi-modal: text chat, voice input (speech-to-text), and voice output (text-to-speech)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Proactive notifications: ISA deadline reminders, rebalancing alerts, tax planning opportunities</w:t>
      </w:r>
    </w:p>
    <w:p>
      <w:pPr>
        <w:pStyle w:val="Heading3"/>
      </w:pPr>
      <w:r>
        <w:t xml:space="preserve">4.2 Biometric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Voice Recognition: Voiceprint enrollment during onboarding; continuous verification during calls; liveness detection to prevent replay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Facial Recognition: Face ID enrollment via mobile/webcam; document-to-face matching for KYC; periodic re-verification aligned with FCA/BaFin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Multi-factor: Biometrics combined with device trust and knowledge-based fallback</w:t>
      </w:r>
    </w:p>
    <w:p>
      <w:pPr>
        <w:pStyle w:val="Heading3"/>
      </w:pPr>
      <w:r>
        <w:t xml:space="preserve">4.3 Process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KYC/AML screening via integration with Onfido/Jumio and sanctions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suitability assessment and risk profiling with AI-assisted questionnaire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portfolio rebalancing within DFM mandates based on drift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compliance monitoring and regulatory reporting (FCA RegData, BaFin returns)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document generation (key information documents, suitability reports, annual reviews)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 Regulatory Compliance Framework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platform is designed for dual-jurisdiction compliance (UK FCA and German BaFin) with extensibility for other EU regulators. Compliance is embedded at the architecture level, not bolted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Implementation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FCA (UK)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Suitability checks, best execution, client communication rules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FCA (UK)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Systems and controls, risk management, compliance monitoring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FCA (UK)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Client asset protection, reconciliation, reporting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MCOB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FCA (UK)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Mortgage conduct rules for referred mortgage business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KWG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BaFin (DE)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Banking Act compliance for cross-border services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WpHG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BaFin (DE)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Securities trading regulations, investor protection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MaRisk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BaFin (DE)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Risk management requirements for financial institutions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BaFin (DE)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IT security requirements, outsourcing controls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UK GDPR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UK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 protection, consent management, DSAR handling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EU GDPR / DSGVO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EU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Cross-border data transfers, DPO, breach notification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Consumer Duty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FCA (UK)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Client outcome monitoring, vulnerable customer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MiFID II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EU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Best execution, transaction reporting, product governance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6. Client Journey &amp; Engagement Model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platform supports a fluid engagement model where the client can interact with AI, a human advisor, or any combination throughout their lifetime journey. The system maintains full context across all channels.</w:t>
      </w:r>
    </w:p>
    <w:p>
      <w:pPr>
        <w:pStyle w:val="Heading3"/>
      </w:pPr>
      <w:r>
        <w:t xml:space="preserve">6.1 Onboarding (Day 0–14)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Digital onboarding with biometric enrollment (voice + face)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AI-guided fact find and risk profiling questionnaire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KYC/AML checks with document upload and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Product recommendation engine based on goals, risk tolerance, and tax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Advisor introduction call (optional) with AI-generated briefing pack</w:t>
      </w:r>
    </w:p>
    <w:p>
      <w:pPr>
        <w:pStyle w:val="Heading3"/>
      </w:pPr>
      <w:r>
        <w:t xml:space="preserve">6.2 Active Management (Ongoing)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24/7 AI assistant for portfolio queries, valuations, and product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Scheduled advisor reviews (annual minimum, quarterly for premium clients)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Proactive AI alerts for tax deadlines, rebalancing events, and new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Self-service portal for contributions, withdrawals, and fund switches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Real-time valuations and performance reporting</w:t>
      </w:r>
    </w:p>
    <w:p>
      <w:pPr>
        <w:pStyle w:val="Heading3"/>
      </w:pPr>
      <w:r>
        <w:t xml:space="preserve">6.3 LTV Maximisation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AI-driven cross-sell recommendations based on life events and portfolio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Automated ISA allowance reminders and pension contribution optimisation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Referral programme with incentives for introducing new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Corporate-to-personal pipeline: employees from corporate clients transition to personal advisory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Estate planning triggers based on age, portfolio size, and family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Philanthropy and legacy planning offered at appropriate wealth thresholds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7. White-Label &amp; Partner Integrations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platform maximises value by integrating best-in-class third-party services through a standardised API layer, reducing development cost and time-to-market while maintaining the BIM brand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Flagstone: Cash deposit service with multi-bank sweep and best-rate optimisation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Onfido/Jumio: Identity verification, document checking, biometric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Albion Capital, Downing, Octopus, Mercia: EIS/VCT fund access via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Charities Aid Foundation: Philanthropy structuring and charitable giving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Partner Insurers: Protection product comparison, quote, and bind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Mortgage Brokers: Referral integration with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FE fundinfo / Morningstar: Fund data, performance analytics, and risk ratings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Calastone: Fund order routing and settlement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8.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Zero-trust network: all service-to-service communication via mTLS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Data encryption: AES-256 at rest, TLS 1.3 in transit, field-level encryption for PII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HSM-backed key management (AWS CloudHSM or Azure Dedicated HSM)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SOC 2 Type II and ISO 27001 certification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Penetration testing: annual third-party assessment plus continuous automated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DDoS protection via Cloudflare or AWS Shield Advanced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SIEM integration for real-time threat detection and incident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Data residency: UK data in UK region, EU data in EU region (Frankfurt)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9.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Client portal, advisor dashboard, mobile apps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Capacitor (iOS/Android)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Native wrapper for PWA with biometric access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Kong / AWS API Gateway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Authentication, rate limiting, routing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Microservices framework with TypeScript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AI/ML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Conversational AI, document analysis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Azure Cognitive Services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Speech-to-text, voice biometrics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Face 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AWS Rekognition / Onfido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Facial recognition, liveness detection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Transactional data + caching/sessions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Search/Audit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Full-text search, compliance audit trail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Event-driven inter-service communication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Kubernetes (EKS/AKS)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Container orchestration and scaling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Automated build, test, deploy pipeline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Datadog / Grafana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APM, logging, alerting, SLA monitoring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Terraform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Infrastructure as code, multi-region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10. Implementation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Core platform, auth, onboarding, ISA + Pensions, AI chat MVP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DFM, Investment Bonds, advisor dashboard, voice/face biometrics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Estate planning suite, corporate solutions, white-label integrations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International bonds, full compliance automation, mobile apps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Months 13–15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Advanced AI (proactive recommendations), referral engine, analytics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Ongoing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Continuous compliance updates, new product modules, optimisation</w:t>
            </w:r>
          </w:p>
        </w:tc>
      </w:tr>
    </w:tbl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11. Budget Estimation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following provides indicative cost ranges for the platform build and first-year operation: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Build Cost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Run Cost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Core Platform Development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£400K–£600K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AI/ML Integration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£80K–£120K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£60K–£100K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Biometric Systems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£50K–£80K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£30K–£50K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Compliance &amp; Security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£100K–£150K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£50K–£80K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£80K–£150K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Third-Party Licenses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£40K–£70K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Team (12-person squad)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£800K–£1.2M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 (Indicative)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£630K–£950K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£1.06M–£1.65M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Note: Costs can be significantly reduced by leveraging white-label services, AI-driven development acceleration, and phased delivery. The above assumes a traditional development approach; an AI-first build methodology (as demonstrated by ADHOCON’s rapid app delivery portfolio) could reduce build timelines by 40–60%.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—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BIM Wealth Platform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2026-02-26T12:38:03.540Z</dcterms:created>
  <dcterms:modified xsi:type="dcterms:W3CDTF">2026-02-26T12:38:03.541Z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