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DD8" w:rsidRDefault="0030266F">
      <w:pPr>
        <w:rPr>
          <w:b/>
        </w:rPr>
      </w:pPr>
      <w:r>
        <w:rPr>
          <w:b/>
        </w:rPr>
        <w:t>Analysis</w:t>
      </w:r>
    </w:p>
    <w:p w:rsidR="0030266F" w:rsidRDefault="0030266F">
      <w:r>
        <w:t>The completed code operates by completing the matching in three passes:</w:t>
      </w:r>
    </w:p>
    <w:p w:rsidR="0030266F" w:rsidRDefault="0030266F" w:rsidP="0030266F">
      <w:pPr>
        <w:pStyle w:val="ListParagraph"/>
        <w:numPr>
          <w:ilvl w:val="0"/>
          <w:numId w:val="1"/>
        </w:numPr>
      </w:pPr>
      <w:r>
        <w:t>Divide all products into groups based on their manufacturer.</w:t>
      </w:r>
    </w:p>
    <w:p w:rsidR="0030266F" w:rsidRDefault="0030266F" w:rsidP="0030266F">
      <w:pPr>
        <w:pStyle w:val="ListParagraph"/>
        <w:numPr>
          <w:ilvl w:val="0"/>
          <w:numId w:val="1"/>
        </w:numPr>
      </w:pPr>
      <w:r>
        <w:t>Divide all listings into groups based on the product manufacturer list. All listings that do not match a product manufacturer are eliminated</w:t>
      </w:r>
    </w:p>
    <w:p w:rsidR="0030266F" w:rsidRDefault="0030266F" w:rsidP="0030266F">
      <w:pPr>
        <w:pStyle w:val="ListParagraph"/>
        <w:numPr>
          <w:ilvl w:val="0"/>
          <w:numId w:val="1"/>
        </w:numPr>
      </w:pPr>
      <w:r>
        <w:t>Each product is compared to all listings in the corresponding manufacturer list based on the family and model.</w:t>
      </w:r>
    </w:p>
    <w:p w:rsidR="00EE26C3" w:rsidRDefault="00650D4E" w:rsidP="0030266F">
      <w:r>
        <w:t xml:space="preserve">This method is far more efficient than </w:t>
      </w:r>
      <w:r w:rsidR="005A5E70">
        <w:t>blindly comparing</w:t>
      </w:r>
      <w:r>
        <w:t xml:space="preserve"> every product with every listing. Listings that don’t correspond to a product manufacturer are eliminated from further testing. Additionally, the last two comparisons are only done for matching manufacturers, mini</w:t>
      </w:r>
      <w:r w:rsidR="00EE26C3">
        <w:t>mizing unnecessary comparisons.</w:t>
      </w:r>
    </w:p>
    <w:p w:rsidR="00650D4E" w:rsidRDefault="00650D4E" w:rsidP="0030266F">
      <w:r>
        <w:t>The table below shows the worst-case and average number of comparisons for each meth</w:t>
      </w:r>
      <w:r w:rsidR="00EE26C3">
        <w:t>od:</w:t>
      </w:r>
    </w:p>
    <w:tbl>
      <w:tblPr>
        <w:tblStyle w:val="TableGrid"/>
        <w:tblW w:w="9812" w:type="dxa"/>
        <w:tblLayout w:type="fixed"/>
        <w:tblLook w:val="04A0" w:firstRow="1" w:lastRow="0" w:firstColumn="1" w:lastColumn="0" w:noHBand="0" w:noVBand="1"/>
      </w:tblPr>
      <w:tblGrid>
        <w:gridCol w:w="1278"/>
        <w:gridCol w:w="1080"/>
        <w:gridCol w:w="1080"/>
        <w:gridCol w:w="1260"/>
        <w:gridCol w:w="3510"/>
        <w:gridCol w:w="1604"/>
      </w:tblGrid>
      <w:tr w:rsidR="00EA7128" w:rsidTr="005748ED">
        <w:tc>
          <w:tcPr>
            <w:tcW w:w="1278" w:type="dxa"/>
          </w:tcPr>
          <w:p w:rsidR="00650D4E" w:rsidRDefault="00650D4E" w:rsidP="0030266F"/>
        </w:tc>
        <w:tc>
          <w:tcPr>
            <w:tcW w:w="1080" w:type="dxa"/>
          </w:tcPr>
          <w:p w:rsidR="00650D4E" w:rsidRPr="00EA7128" w:rsidRDefault="00EA7128" w:rsidP="00EA7128">
            <w:pPr>
              <w:jc w:val="center"/>
              <w:rPr>
                <w:b/>
              </w:rPr>
            </w:pPr>
            <w:r>
              <w:rPr>
                <w:b/>
              </w:rPr>
              <w:t>Pass One</w:t>
            </w:r>
          </w:p>
        </w:tc>
        <w:tc>
          <w:tcPr>
            <w:tcW w:w="1080" w:type="dxa"/>
          </w:tcPr>
          <w:p w:rsidR="00650D4E" w:rsidRPr="00EA7128" w:rsidRDefault="00EA7128" w:rsidP="00EA7128">
            <w:pPr>
              <w:jc w:val="center"/>
              <w:rPr>
                <w:b/>
              </w:rPr>
            </w:pPr>
            <w:r>
              <w:rPr>
                <w:b/>
              </w:rPr>
              <w:t>Pass Two</w:t>
            </w:r>
          </w:p>
        </w:tc>
        <w:tc>
          <w:tcPr>
            <w:tcW w:w="1260" w:type="dxa"/>
          </w:tcPr>
          <w:p w:rsidR="00650D4E" w:rsidRPr="00EA7128" w:rsidRDefault="00EA7128" w:rsidP="00EA7128">
            <w:pPr>
              <w:jc w:val="center"/>
              <w:rPr>
                <w:b/>
              </w:rPr>
            </w:pPr>
            <w:r>
              <w:rPr>
                <w:b/>
              </w:rPr>
              <w:t>Pass Three</w:t>
            </w:r>
          </w:p>
        </w:tc>
        <w:tc>
          <w:tcPr>
            <w:tcW w:w="3510" w:type="dxa"/>
          </w:tcPr>
          <w:p w:rsidR="00650D4E" w:rsidRPr="00EA7128" w:rsidRDefault="00650D4E" w:rsidP="00EA7128">
            <w:pPr>
              <w:jc w:val="center"/>
              <w:rPr>
                <w:b/>
              </w:rPr>
            </w:pPr>
            <w:r w:rsidRPr="00EA7128">
              <w:rPr>
                <w:b/>
              </w:rPr>
              <w:t>Three Pass Total</w:t>
            </w:r>
          </w:p>
        </w:tc>
        <w:tc>
          <w:tcPr>
            <w:tcW w:w="1604" w:type="dxa"/>
          </w:tcPr>
          <w:p w:rsidR="00650D4E" w:rsidRPr="00EA7128" w:rsidRDefault="00650D4E" w:rsidP="00EA7128">
            <w:pPr>
              <w:jc w:val="center"/>
              <w:rPr>
                <w:b/>
              </w:rPr>
            </w:pPr>
            <w:r w:rsidRPr="00EA7128">
              <w:rPr>
                <w:b/>
              </w:rPr>
              <w:t>Blind Comparison</w:t>
            </w:r>
          </w:p>
        </w:tc>
      </w:tr>
      <w:tr w:rsidR="00EA7128" w:rsidTr="005748ED">
        <w:tc>
          <w:tcPr>
            <w:tcW w:w="1278" w:type="dxa"/>
          </w:tcPr>
          <w:p w:rsidR="00650D4E" w:rsidRPr="00EE26C3" w:rsidRDefault="00650D4E" w:rsidP="0030266F">
            <w:pPr>
              <w:rPr>
                <w:b/>
              </w:rPr>
            </w:pPr>
            <w:r w:rsidRPr="00EE26C3">
              <w:rPr>
                <w:b/>
              </w:rPr>
              <w:t>Worst-case</w:t>
            </w:r>
          </w:p>
        </w:tc>
        <w:tc>
          <w:tcPr>
            <w:tcW w:w="1080" w:type="dxa"/>
          </w:tcPr>
          <w:p w:rsidR="00650D4E" w:rsidRDefault="00EE26C3" w:rsidP="00EA7128">
            <w:pPr>
              <w:jc w:val="center"/>
            </w:pPr>
            <m:oMathPara>
              <m:oMath>
                <m:r>
                  <w:rPr>
                    <w:rFonts w:ascii="Cambria Math" w:hAnsi="Cambria Math"/>
                  </w:rPr>
                  <m:t>O</m:t>
                </m:r>
                <m:sSub>
                  <m:sSubPr>
                    <m:ctrlPr>
                      <w:rPr>
                        <w:rFonts w:ascii="Cambria Math" w:hAnsi="Cambria Math"/>
                        <w:i/>
                      </w:rPr>
                    </m:ctrlPr>
                  </m:sSubPr>
                  <m:e>
                    <m:r>
                      <w:rPr>
                        <w:rFonts w:ascii="Cambria Math" w:hAnsi="Cambria Math"/>
                      </w:rPr>
                      <m:t xml:space="preserve"> n</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p</m:t>
                    </m:r>
                  </m:sub>
                </m:sSub>
              </m:oMath>
            </m:oMathPara>
          </w:p>
        </w:tc>
        <w:tc>
          <w:tcPr>
            <w:tcW w:w="1080" w:type="dxa"/>
          </w:tcPr>
          <w:p w:rsidR="00650D4E" w:rsidRDefault="00EE26C3" w:rsidP="00EA7128">
            <w:pPr>
              <w:jc w:val="center"/>
            </w:pPr>
            <m:oMathPara>
              <m:oMath>
                <m:r>
                  <w:rPr>
                    <w:rFonts w:ascii="Cambria Math" w:hAnsi="Cambria Math"/>
                  </w:rPr>
                  <m:t xml:space="preserve">O </m:t>
                </m:r>
                <m:sSub>
                  <m:sSubPr>
                    <m:ctrlPr>
                      <w:rPr>
                        <w:rFonts w:ascii="Cambria Math" w:hAnsi="Cambria Math"/>
                        <w:i/>
                      </w:rPr>
                    </m:ctrlPr>
                  </m:sSubPr>
                  <m:e>
                    <m:r>
                      <w:rPr>
                        <w:rFonts w:ascii="Cambria Math" w:hAnsi="Cambria Math"/>
                      </w:rPr>
                      <m:t>n</m:t>
                    </m:r>
                  </m:e>
                  <m:sub>
                    <m:r>
                      <w:rPr>
                        <w:rFonts w:ascii="Cambria Math" w:hAnsi="Cambria Math"/>
                      </w:rPr>
                      <m:t>l</m:t>
                    </m:r>
                  </m:sub>
                </m:sSub>
                <m:sSub>
                  <m:sSubPr>
                    <m:ctrlPr>
                      <w:rPr>
                        <w:rFonts w:ascii="Cambria Math" w:hAnsi="Cambria Math"/>
                        <w:i/>
                      </w:rPr>
                    </m:ctrlPr>
                  </m:sSubPr>
                  <m:e>
                    <m:r>
                      <w:rPr>
                        <w:rFonts w:ascii="Cambria Math" w:hAnsi="Cambria Math"/>
                      </w:rPr>
                      <m:t>m</m:t>
                    </m:r>
                  </m:e>
                  <m:sub>
                    <m:r>
                      <w:rPr>
                        <w:rFonts w:ascii="Cambria Math" w:hAnsi="Cambria Math"/>
                      </w:rPr>
                      <m:t>p</m:t>
                    </m:r>
                  </m:sub>
                </m:sSub>
              </m:oMath>
            </m:oMathPara>
          </w:p>
        </w:tc>
        <w:tc>
          <w:tcPr>
            <w:tcW w:w="1260" w:type="dxa"/>
          </w:tcPr>
          <w:p w:rsidR="00650D4E" w:rsidRDefault="00EE26C3" w:rsidP="00EA7128">
            <w:pPr>
              <w:jc w:val="center"/>
            </w:pPr>
            <m:oMathPara>
              <m:oMath>
                <m:r>
                  <w:rPr>
                    <w:rFonts w:ascii="Cambria Math" w:hAnsi="Cambria Math"/>
                  </w:rPr>
                  <m:t>O 2</m:t>
                </m:r>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c>
          <w:tcPr>
            <w:tcW w:w="3510" w:type="dxa"/>
          </w:tcPr>
          <w:p w:rsidR="00650D4E" w:rsidRDefault="00EE26C3" w:rsidP="000C67EB">
            <w:pPr>
              <w:jc w:val="center"/>
            </w:pPr>
            <m:oMathPara>
              <m:oMath>
                <m:r>
                  <w:rPr>
                    <w:rFonts w:ascii="Cambria Math" w:hAnsi="Cambria Math"/>
                  </w:rPr>
                  <m:t>O 2</m:t>
                </m:r>
                <m:sSub>
                  <m:sSubPr>
                    <m:ctrlPr>
                      <w:rPr>
                        <w:rFonts w:ascii="Cambria Math" w:hAnsi="Cambria Math"/>
                        <w:i/>
                      </w:rPr>
                    </m:ctrlPr>
                  </m:sSubPr>
                  <m:e>
                    <m:r>
                      <w:rPr>
                        <w:rFonts w:ascii="Cambria Math" w:hAnsi="Cambria Math"/>
                      </w:rPr>
                      <m:t>m</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l</m:t>
                        </m:r>
                      </m:sub>
                    </m:sSub>
                  </m:e>
                </m:d>
                <m:r>
                  <w:rPr>
                    <w:rFonts w:ascii="Cambria Math" w:hAnsi="Cambria Math"/>
                  </w:rPr>
                  <m:t>+ 2</m:t>
                </m:r>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c>
          <w:tcPr>
            <w:tcW w:w="1604" w:type="dxa"/>
          </w:tcPr>
          <w:p w:rsidR="00650D4E" w:rsidRDefault="00EE26C3" w:rsidP="003310C0">
            <w:pPr>
              <w:jc w:val="center"/>
            </w:pPr>
            <m:oMathPara>
              <m:oMath>
                <m:r>
                  <w:rPr>
                    <w:rFonts w:ascii="Cambria Math" w:hAnsi="Cambria Math"/>
                  </w:rPr>
                  <m:t>O 3</m:t>
                </m:r>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r>
      <w:tr w:rsidR="00EA7128" w:rsidTr="005748ED">
        <w:tc>
          <w:tcPr>
            <w:tcW w:w="1278" w:type="dxa"/>
          </w:tcPr>
          <w:p w:rsidR="00650D4E" w:rsidRPr="00EE26C3" w:rsidRDefault="00EA7128" w:rsidP="0030266F">
            <w:pPr>
              <w:rPr>
                <w:b/>
              </w:rPr>
            </w:pPr>
            <w:r w:rsidRPr="00EE26C3">
              <w:rPr>
                <w:b/>
              </w:rPr>
              <w:t>Average</w:t>
            </w:r>
          </w:p>
        </w:tc>
        <w:tc>
          <w:tcPr>
            <w:tcW w:w="1080" w:type="dxa"/>
          </w:tcPr>
          <w:p w:rsidR="00650D4E" w:rsidRDefault="00EA7128" w:rsidP="005748ED">
            <w:pPr>
              <w:jc w:val="center"/>
            </w:pPr>
            <m:oMathPara>
              <m:oMath>
                <m:r>
                  <w:rPr>
                    <w:rFonts w:ascii="Cambria Math" w:hAnsi="Cambria Math"/>
                  </w:rPr>
                  <m:t xml:space="preserve">σ </m:t>
                </m:r>
                <m:sSub>
                  <m:sSubPr>
                    <m:ctrlPr>
                      <w:rPr>
                        <w:rFonts w:ascii="Cambria Math" w:hAnsi="Cambria Math"/>
                        <w:i/>
                      </w:rPr>
                    </m:ctrlPr>
                  </m:sSubPr>
                  <m:e>
                    <m:r>
                      <w:rPr>
                        <w:rFonts w:ascii="Cambria Math" w:hAnsi="Cambria Math"/>
                      </w:rPr>
                      <m:t xml:space="preserve"> n</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den>
                </m:f>
              </m:oMath>
            </m:oMathPara>
          </w:p>
        </w:tc>
        <w:tc>
          <w:tcPr>
            <w:tcW w:w="1080" w:type="dxa"/>
          </w:tcPr>
          <w:p w:rsidR="00650D4E" w:rsidRDefault="00EA7128" w:rsidP="00EA7128">
            <w:pPr>
              <w:jc w:val="center"/>
            </w:pPr>
            <m:oMathPara>
              <m:oMath>
                <m:r>
                  <w:rPr>
                    <w:rFonts w:ascii="Cambria Math" w:hAnsi="Cambria Math"/>
                  </w:rPr>
                  <m:t xml:space="preserve">σ </m:t>
                </m:r>
                <m:sSub>
                  <m:sSubPr>
                    <m:ctrlPr>
                      <w:rPr>
                        <w:rFonts w:ascii="Cambria Math" w:hAnsi="Cambria Math"/>
                        <w:i/>
                      </w:rPr>
                    </m:ctrlPr>
                  </m:sSubPr>
                  <m:e>
                    <m:r>
                      <w:rPr>
                        <w:rFonts w:ascii="Cambria Math" w:hAnsi="Cambria Math"/>
                      </w:rPr>
                      <m:t>n</m:t>
                    </m:r>
                  </m:e>
                  <m:sub>
                    <m:r>
                      <w:rPr>
                        <w:rFonts w:ascii="Cambria Math" w:hAnsi="Cambria Math"/>
                      </w:rPr>
                      <m:t>l</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den>
                </m:f>
              </m:oMath>
            </m:oMathPara>
          </w:p>
        </w:tc>
        <w:tc>
          <w:tcPr>
            <w:tcW w:w="1260" w:type="dxa"/>
          </w:tcPr>
          <w:p w:rsidR="00650D4E" w:rsidRDefault="00EA7128" w:rsidP="00EA7128">
            <w:pPr>
              <w:jc w:val="center"/>
            </w:pPr>
            <m:oMathPara>
              <m:oMath>
                <m:r>
                  <w:rPr>
                    <w:rFonts w:ascii="Cambria Math" w:hAnsi="Cambria Math"/>
                  </w:rPr>
                  <m:t xml:space="preserve">σ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n</m:t>
                        </m:r>
                      </m:e>
                      <m:sub>
                        <m:r>
                          <w:rPr>
                            <w:rFonts w:ascii="Cambria Math" w:hAnsi="Cambria Math"/>
                          </w:rPr>
                          <m:t>lsub</m:t>
                        </m:r>
                      </m:sub>
                    </m:sSub>
                  </m:num>
                  <m:den>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den>
                    </m:f>
                  </m:den>
                </m:f>
              </m:oMath>
            </m:oMathPara>
          </w:p>
        </w:tc>
        <w:tc>
          <w:tcPr>
            <w:tcW w:w="3510" w:type="dxa"/>
          </w:tcPr>
          <w:p w:rsidR="00EA7128" w:rsidRPr="00EA7128" w:rsidRDefault="00EA7128" w:rsidP="00EA7128">
            <w:pPr>
              <w:jc w:val="center"/>
              <w:rPr>
                <w:rFonts w:eastAsiaTheme="minorEastAsia"/>
              </w:rPr>
            </w:pPr>
            <m:oMathPara>
              <m:oMath>
                <m:r>
                  <w:rPr>
                    <w:rFonts w:ascii="Cambria Math" w:hAnsi="Cambria Math"/>
                  </w:rPr>
                  <m:t xml:space="preserve">σ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lsub</m:t>
                        </m:r>
                      </m:sub>
                    </m:sSub>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n</m:t>
                        </m:r>
                      </m:e>
                      <m:sub>
                        <m:r>
                          <w:rPr>
                            <w:rFonts w:ascii="Cambria Math" w:hAnsi="Cambria Math"/>
                          </w:rPr>
                          <m:t>lsub</m:t>
                        </m:r>
                      </m:sub>
                    </m:sSub>
                  </m:num>
                  <m:den>
                    <m:f>
                      <m:fPr>
                        <m:type m:val="skw"/>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2</m:t>
                        </m:r>
                      </m:den>
                    </m:f>
                  </m:den>
                </m:f>
              </m:oMath>
            </m:oMathPara>
          </w:p>
        </w:tc>
        <w:tc>
          <w:tcPr>
            <w:tcW w:w="1604" w:type="dxa"/>
          </w:tcPr>
          <w:p w:rsidR="00650D4E" w:rsidRDefault="00EA7128" w:rsidP="003310C0">
            <w:pPr>
              <w:jc w:val="center"/>
            </w:pPr>
            <m:oMathPara>
              <m:oMath>
                <m:r>
                  <w:rPr>
                    <w:rFonts w:ascii="Cambria Math" w:hAnsi="Cambria Math"/>
                  </w:rPr>
                  <m:t>σ</m:t>
                </m:r>
                <m:r>
                  <w:rPr>
                    <w:rFonts w:ascii="Cambria Math" w:hAnsi="Cambria Math"/>
                  </w:rPr>
                  <m:t xml:space="preserve"> 2</m:t>
                </m:r>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r>
    </w:tbl>
    <w:p w:rsidR="005748ED" w:rsidRDefault="0030266F" w:rsidP="0030266F">
      <w:pPr>
        <w:rPr>
          <w:rFonts w:eastAsiaTheme="minorEastAsia"/>
        </w:rPr>
      </w:pPr>
      <w:r>
        <w:br/>
      </w:r>
      <w:r w:rsidR="005748ED">
        <w:t>Where:</w:t>
      </w:r>
      <w:r w:rsidR="005A5E70">
        <w:br/>
      </w: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5748ED">
        <w:rPr>
          <w:rFonts w:eastAsiaTheme="minorEastAsia"/>
        </w:rPr>
        <w:t xml:space="preserve"> is the number of products</w:t>
      </w:r>
      <w:r w:rsidR="005748ED">
        <w:rPr>
          <w:rFonts w:eastAsiaTheme="minorEastAsia"/>
        </w:rPr>
        <w:br/>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5748ED">
        <w:rPr>
          <w:rFonts w:eastAsiaTheme="minorEastAsia"/>
        </w:rPr>
        <w:t xml:space="preserve"> is the number of listings</w:t>
      </w:r>
      <w:r w:rsidR="005748ED">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748ED">
        <w:rPr>
          <w:rFonts w:eastAsiaTheme="minorEastAsia"/>
        </w:rPr>
        <w:t xml:space="preserve"> is the number of unique product manufacturers</w:t>
      </w:r>
      <w:r w:rsidR="005748ED">
        <w:rPr>
          <w:rFonts w:eastAsiaTheme="minorEastAsia"/>
        </w:rPr>
        <w:br/>
      </w:r>
      <m:oMath>
        <m:sSub>
          <m:sSubPr>
            <m:ctrlPr>
              <w:rPr>
                <w:rFonts w:ascii="Cambria Math" w:hAnsi="Cambria Math"/>
                <w:i/>
              </w:rPr>
            </m:ctrlPr>
          </m:sSubPr>
          <m:e>
            <m:r>
              <w:rPr>
                <w:rFonts w:ascii="Cambria Math" w:hAnsi="Cambria Math"/>
              </w:rPr>
              <m:t>n</m:t>
            </m:r>
          </m:e>
          <m:sub>
            <m:r>
              <w:rPr>
                <w:rFonts w:ascii="Cambria Math" w:hAnsi="Cambria Math"/>
              </w:rPr>
              <m:t>lsub</m:t>
            </m:r>
          </m:sub>
        </m:sSub>
      </m:oMath>
      <w:r w:rsidR="005748ED">
        <w:rPr>
          <w:rFonts w:eastAsiaTheme="minorEastAsia"/>
        </w:rPr>
        <w:t xml:space="preserve"> is the subset of listings remaining after the </w:t>
      </w:r>
      <w:r w:rsidR="005A5E70">
        <w:rPr>
          <w:rFonts w:eastAsiaTheme="minorEastAsia"/>
        </w:rPr>
        <w:t>second pass</w:t>
      </w:r>
    </w:p>
    <w:p w:rsidR="005A5E70" w:rsidRDefault="005A5E70" w:rsidP="0030266F">
      <w:pPr>
        <w:rPr>
          <w:rFonts w:eastAsiaTheme="minorEastAsia"/>
        </w:rPr>
      </w:pPr>
      <w:r>
        <w:rPr>
          <w:rFonts w:eastAsiaTheme="minorEastAsia"/>
        </w:rPr>
        <w:t xml:space="preserve">To validate, the worst-case and average values were computed for the test data, then the </w:t>
      </w:r>
      <w:r w:rsidR="00EE26C3">
        <w:rPr>
          <w:rFonts w:eastAsiaTheme="minorEastAsia"/>
        </w:rPr>
        <w:t>number of comparisons was measured programmatically to compare.</w:t>
      </w:r>
    </w:p>
    <w:p w:rsidR="00EE26C3" w:rsidRDefault="00EE26C3" w:rsidP="0030266F">
      <w:pPr>
        <w:rPr>
          <w:rFonts w:eastAsiaTheme="minorEastAsia"/>
        </w:rPr>
      </w:pPr>
      <w:r>
        <w:rPr>
          <w:rFonts w:eastAsiaTheme="minorEastAsia"/>
        </w:rPr>
        <w:t>The parameters of the test data are:</w:t>
      </w:r>
      <w:r>
        <w:rPr>
          <w:rFonts w:eastAsiaTheme="minorEastAsia"/>
        </w:rPr>
        <w:br/>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 743</w:t>
      </w:r>
      <w:r>
        <w:rPr>
          <w:rFonts w:eastAsiaTheme="minorEastAsia"/>
        </w:rPr>
        <w:br/>
      </w:r>
      <m:oMath>
        <m:sSub>
          <m:sSubPr>
            <m:ctrlPr>
              <w:rPr>
                <w:rFonts w:ascii="Cambria Math" w:hAnsi="Cambria Math"/>
                <w:i/>
              </w:rPr>
            </m:ctrlPr>
          </m:sSubPr>
          <m:e>
            <m:r>
              <w:rPr>
                <w:rFonts w:ascii="Cambria Math" w:hAnsi="Cambria Math"/>
              </w:rPr>
              <m:t>n</m:t>
            </m:r>
          </m:e>
          <m:sub>
            <m:r>
              <w:rPr>
                <w:rFonts w:ascii="Cambria Math" w:hAnsi="Cambria Math"/>
              </w:rPr>
              <m:t>l</m:t>
            </m:r>
          </m:sub>
        </m:sSub>
      </m:oMath>
      <w:r>
        <w:rPr>
          <w:rFonts w:eastAsiaTheme="minorEastAsia"/>
        </w:rPr>
        <w:t xml:space="preserve"> = 20196</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eastAsiaTheme="minorEastAsia"/>
        </w:rPr>
        <w:t xml:space="preserve"> = 21</w:t>
      </w:r>
      <w:r>
        <w:rPr>
          <w:rFonts w:eastAsiaTheme="minorEastAsia"/>
        </w:rPr>
        <w:br/>
      </w:r>
      <m:oMath>
        <m:sSub>
          <m:sSubPr>
            <m:ctrlPr>
              <w:rPr>
                <w:rFonts w:ascii="Cambria Math" w:hAnsi="Cambria Math"/>
                <w:i/>
              </w:rPr>
            </m:ctrlPr>
          </m:sSubPr>
          <m:e>
            <m:r>
              <w:rPr>
                <w:rFonts w:ascii="Cambria Math" w:hAnsi="Cambria Math"/>
              </w:rPr>
              <m:t>n</m:t>
            </m:r>
          </m:e>
          <m:sub>
            <m:r>
              <w:rPr>
                <w:rFonts w:ascii="Cambria Math" w:hAnsi="Cambria Math"/>
              </w:rPr>
              <m:t>lsub</m:t>
            </m:r>
          </m:sub>
        </m:sSub>
      </m:oMath>
      <w:r>
        <w:rPr>
          <w:rFonts w:eastAsiaTheme="minorEastAsia"/>
        </w:rPr>
        <w:t xml:space="preserve"> = 16399</w:t>
      </w:r>
    </w:p>
    <w:p w:rsidR="00EE26C3" w:rsidRDefault="00EE26C3" w:rsidP="0030266F">
      <w:pPr>
        <w:rPr>
          <w:rFonts w:eastAsiaTheme="minorEastAsia"/>
        </w:rPr>
      </w:pPr>
      <w:r>
        <w:rPr>
          <w:rFonts w:eastAsiaTheme="minorEastAsia"/>
        </w:rPr>
        <w:t>The table below shows the calculated and measured values:</w:t>
      </w:r>
    </w:p>
    <w:tbl>
      <w:tblPr>
        <w:tblStyle w:val="TableGrid"/>
        <w:tblW w:w="0" w:type="auto"/>
        <w:tblLook w:val="04A0" w:firstRow="1" w:lastRow="0" w:firstColumn="1" w:lastColumn="0" w:noHBand="0" w:noVBand="1"/>
      </w:tblPr>
      <w:tblGrid>
        <w:gridCol w:w="1664"/>
        <w:gridCol w:w="1324"/>
        <w:gridCol w:w="1350"/>
        <w:gridCol w:w="1530"/>
        <w:gridCol w:w="1800"/>
        <w:gridCol w:w="1908"/>
      </w:tblGrid>
      <w:tr w:rsidR="001510D5" w:rsidTr="001510D5">
        <w:tc>
          <w:tcPr>
            <w:tcW w:w="1664" w:type="dxa"/>
          </w:tcPr>
          <w:p w:rsidR="001510D5" w:rsidRDefault="001510D5" w:rsidP="0030266F">
            <w:pPr>
              <w:rPr>
                <w:rFonts w:eastAsiaTheme="minorEastAsia"/>
              </w:rPr>
            </w:pPr>
          </w:p>
        </w:tc>
        <w:tc>
          <w:tcPr>
            <w:tcW w:w="1324" w:type="dxa"/>
          </w:tcPr>
          <w:p w:rsidR="001510D5" w:rsidRPr="00EA7128" w:rsidRDefault="001510D5" w:rsidP="004B3537">
            <w:pPr>
              <w:jc w:val="center"/>
              <w:rPr>
                <w:b/>
              </w:rPr>
            </w:pPr>
            <w:r>
              <w:rPr>
                <w:b/>
              </w:rPr>
              <w:t>Pass One</w:t>
            </w:r>
          </w:p>
        </w:tc>
        <w:tc>
          <w:tcPr>
            <w:tcW w:w="1350" w:type="dxa"/>
          </w:tcPr>
          <w:p w:rsidR="001510D5" w:rsidRPr="00EA7128" w:rsidRDefault="001510D5" w:rsidP="004B3537">
            <w:pPr>
              <w:jc w:val="center"/>
              <w:rPr>
                <w:b/>
              </w:rPr>
            </w:pPr>
            <w:r>
              <w:rPr>
                <w:b/>
              </w:rPr>
              <w:t>Pass Two</w:t>
            </w:r>
          </w:p>
        </w:tc>
        <w:tc>
          <w:tcPr>
            <w:tcW w:w="1530" w:type="dxa"/>
          </w:tcPr>
          <w:p w:rsidR="001510D5" w:rsidRPr="00EA7128" w:rsidRDefault="001510D5" w:rsidP="004B3537">
            <w:pPr>
              <w:jc w:val="center"/>
              <w:rPr>
                <w:b/>
              </w:rPr>
            </w:pPr>
            <w:r>
              <w:rPr>
                <w:b/>
              </w:rPr>
              <w:t>Pass Three</w:t>
            </w:r>
          </w:p>
        </w:tc>
        <w:tc>
          <w:tcPr>
            <w:tcW w:w="1800" w:type="dxa"/>
          </w:tcPr>
          <w:p w:rsidR="001510D5" w:rsidRPr="00EA7128" w:rsidRDefault="001510D5" w:rsidP="004B3537">
            <w:pPr>
              <w:jc w:val="center"/>
              <w:rPr>
                <w:b/>
              </w:rPr>
            </w:pPr>
            <w:r w:rsidRPr="00EA7128">
              <w:rPr>
                <w:b/>
              </w:rPr>
              <w:t>Three Pass Total</w:t>
            </w:r>
          </w:p>
        </w:tc>
        <w:tc>
          <w:tcPr>
            <w:tcW w:w="1908" w:type="dxa"/>
          </w:tcPr>
          <w:p w:rsidR="001510D5" w:rsidRPr="001510D5" w:rsidRDefault="001510D5" w:rsidP="001510D5">
            <w:pPr>
              <w:jc w:val="center"/>
              <w:rPr>
                <w:b/>
              </w:rPr>
            </w:pPr>
            <w:r>
              <w:rPr>
                <w:b/>
              </w:rPr>
              <w:t>Blind Comparison</w:t>
            </w:r>
          </w:p>
        </w:tc>
      </w:tr>
      <w:tr w:rsidR="001510D5" w:rsidTr="001510D5">
        <w:tc>
          <w:tcPr>
            <w:tcW w:w="1664" w:type="dxa"/>
          </w:tcPr>
          <w:p w:rsidR="001510D5" w:rsidRPr="00EE26C3" w:rsidRDefault="001510D5" w:rsidP="004B3537">
            <w:pPr>
              <w:rPr>
                <w:b/>
              </w:rPr>
            </w:pPr>
            <w:r w:rsidRPr="00EE26C3">
              <w:rPr>
                <w:b/>
              </w:rPr>
              <w:t>Worst-case</w:t>
            </w:r>
          </w:p>
        </w:tc>
        <w:tc>
          <w:tcPr>
            <w:tcW w:w="1324" w:type="dxa"/>
          </w:tcPr>
          <w:p w:rsidR="001510D5" w:rsidRDefault="001510D5" w:rsidP="00EE26C3">
            <w:pPr>
              <w:jc w:val="center"/>
              <w:rPr>
                <w:rFonts w:eastAsiaTheme="minorEastAsia"/>
              </w:rPr>
            </w:pPr>
            <w:r>
              <w:rPr>
                <w:rFonts w:eastAsiaTheme="minorEastAsia"/>
              </w:rPr>
              <w:t>15,603</w:t>
            </w:r>
          </w:p>
        </w:tc>
        <w:tc>
          <w:tcPr>
            <w:tcW w:w="1350" w:type="dxa"/>
          </w:tcPr>
          <w:p w:rsidR="001510D5" w:rsidRDefault="001510D5" w:rsidP="00EE26C3">
            <w:pPr>
              <w:jc w:val="center"/>
              <w:rPr>
                <w:rFonts w:eastAsiaTheme="minorEastAsia"/>
              </w:rPr>
            </w:pPr>
            <w:r>
              <w:rPr>
                <w:rFonts w:eastAsiaTheme="minorEastAsia"/>
              </w:rPr>
              <w:t>424,116</w:t>
            </w:r>
          </w:p>
        </w:tc>
        <w:tc>
          <w:tcPr>
            <w:tcW w:w="1530" w:type="dxa"/>
          </w:tcPr>
          <w:p w:rsidR="001510D5" w:rsidRDefault="001510D5" w:rsidP="00EE26C3">
            <w:pPr>
              <w:jc w:val="center"/>
              <w:rPr>
                <w:rFonts w:eastAsiaTheme="minorEastAsia"/>
              </w:rPr>
            </w:pPr>
            <w:r>
              <w:rPr>
                <w:rFonts w:eastAsiaTheme="minorEastAsia"/>
              </w:rPr>
              <w:t>30,011,256</w:t>
            </w:r>
          </w:p>
        </w:tc>
        <w:tc>
          <w:tcPr>
            <w:tcW w:w="1800" w:type="dxa"/>
          </w:tcPr>
          <w:p w:rsidR="001510D5" w:rsidRDefault="001510D5" w:rsidP="00EE26C3">
            <w:pPr>
              <w:jc w:val="center"/>
              <w:rPr>
                <w:rFonts w:eastAsiaTheme="minorEastAsia"/>
              </w:rPr>
            </w:pPr>
            <w:r>
              <w:rPr>
                <w:rFonts w:eastAsiaTheme="minorEastAsia"/>
              </w:rPr>
              <w:t>30,450,975</w:t>
            </w:r>
          </w:p>
        </w:tc>
        <w:tc>
          <w:tcPr>
            <w:tcW w:w="1908" w:type="dxa"/>
          </w:tcPr>
          <w:p w:rsidR="001510D5" w:rsidRDefault="001510D5" w:rsidP="00EE26C3">
            <w:pPr>
              <w:jc w:val="center"/>
              <w:rPr>
                <w:rFonts w:eastAsiaTheme="minorEastAsia"/>
              </w:rPr>
            </w:pPr>
            <w:r>
              <w:rPr>
                <w:rFonts w:eastAsiaTheme="minorEastAsia"/>
              </w:rPr>
              <w:t>45,016,884</w:t>
            </w:r>
          </w:p>
        </w:tc>
      </w:tr>
      <w:tr w:rsidR="001510D5" w:rsidTr="001510D5">
        <w:tc>
          <w:tcPr>
            <w:tcW w:w="1664" w:type="dxa"/>
          </w:tcPr>
          <w:p w:rsidR="001510D5" w:rsidRPr="00EE26C3" w:rsidRDefault="001510D5" w:rsidP="004B3537">
            <w:pPr>
              <w:rPr>
                <w:b/>
              </w:rPr>
            </w:pPr>
            <w:r w:rsidRPr="00EE26C3">
              <w:rPr>
                <w:b/>
              </w:rPr>
              <w:t>Average</w:t>
            </w:r>
          </w:p>
        </w:tc>
        <w:tc>
          <w:tcPr>
            <w:tcW w:w="1324" w:type="dxa"/>
          </w:tcPr>
          <w:p w:rsidR="001510D5" w:rsidRDefault="001510D5" w:rsidP="00EE26C3">
            <w:pPr>
              <w:jc w:val="center"/>
              <w:rPr>
                <w:rFonts w:eastAsiaTheme="minorEastAsia"/>
              </w:rPr>
            </w:pPr>
            <w:r>
              <w:rPr>
                <w:rFonts w:eastAsiaTheme="minorEastAsia"/>
              </w:rPr>
              <w:t>7,802</w:t>
            </w:r>
          </w:p>
        </w:tc>
        <w:tc>
          <w:tcPr>
            <w:tcW w:w="1350" w:type="dxa"/>
          </w:tcPr>
          <w:p w:rsidR="001510D5" w:rsidRDefault="001510D5" w:rsidP="00EE26C3">
            <w:pPr>
              <w:jc w:val="center"/>
              <w:rPr>
                <w:rFonts w:eastAsiaTheme="minorEastAsia"/>
              </w:rPr>
            </w:pPr>
            <w:r>
              <w:rPr>
                <w:rFonts w:eastAsiaTheme="minorEastAsia"/>
              </w:rPr>
              <w:t>212,058</w:t>
            </w:r>
          </w:p>
        </w:tc>
        <w:tc>
          <w:tcPr>
            <w:tcW w:w="1530" w:type="dxa"/>
          </w:tcPr>
          <w:p w:rsidR="001510D5" w:rsidRDefault="001510D5" w:rsidP="00EE26C3">
            <w:pPr>
              <w:jc w:val="center"/>
              <w:rPr>
                <w:rFonts w:eastAsiaTheme="minorEastAsia"/>
              </w:rPr>
            </w:pPr>
            <w:r>
              <w:rPr>
                <w:rFonts w:eastAsiaTheme="minorEastAsia"/>
              </w:rPr>
              <w:t>2,858,214</w:t>
            </w:r>
          </w:p>
        </w:tc>
        <w:tc>
          <w:tcPr>
            <w:tcW w:w="1800" w:type="dxa"/>
          </w:tcPr>
          <w:p w:rsidR="001510D5" w:rsidRDefault="001510D5" w:rsidP="00EE26C3">
            <w:pPr>
              <w:jc w:val="center"/>
              <w:rPr>
                <w:rFonts w:eastAsiaTheme="minorEastAsia"/>
              </w:rPr>
            </w:pPr>
            <w:r>
              <w:rPr>
                <w:rFonts w:eastAsiaTheme="minorEastAsia"/>
              </w:rPr>
              <w:t>3,780,074</w:t>
            </w:r>
          </w:p>
        </w:tc>
        <w:tc>
          <w:tcPr>
            <w:tcW w:w="1908" w:type="dxa"/>
          </w:tcPr>
          <w:p w:rsidR="001510D5" w:rsidRDefault="00421494" w:rsidP="00EE26C3">
            <w:pPr>
              <w:jc w:val="center"/>
              <w:rPr>
                <w:rFonts w:eastAsiaTheme="minorEastAsia"/>
              </w:rPr>
            </w:pPr>
            <w:r>
              <w:rPr>
                <w:rFonts w:eastAsiaTheme="minorEastAsia"/>
              </w:rPr>
              <w:t>30,011,256</w:t>
            </w:r>
          </w:p>
        </w:tc>
      </w:tr>
      <w:tr w:rsidR="001510D5" w:rsidTr="001510D5">
        <w:tc>
          <w:tcPr>
            <w:tcW w:w="1664" w:type="dxa"/>
          </w:tcPr>
          <w:p w:rsidR="001510D5" w:rsidRPr="00EE26C3" w:rsidRDefault="001510D5" w:rsidP="0030266F">
            <w:pPr>
              <w:rPr>
                <w:rFonts w:eastAsiaTheme="minorEastAsia"/>
                <w:b/>
              </w:rPr>
            </w:pPr>
            <w:r>
              <w:rPr>
                <w:rFonts w:eastAsiaTheme="minorEastAsia"/>
                <w:b/>
              </w:rPr>
              <w:t>Measured</w:t>
            </w:r>
          </w:p>
        </w:tc>
        <w:tc>
          <w:tcPr>
            <w:tcW w:w="1324" w:type="dxa"/>
          </w:tcPr>
          <w:p w:rsidR="001510D5" w:rsidRDefault="001510D5" w:rsidP="00EE26C3">
            <w:pPr>
              <w:jc w:val="center"/>
              <w:rPr>
                <w:rFonts w:eastAsiaTheme="minorEastAsia"/>
              </w:rPr>
            </w:pPr>
            <w:r>
              <w:rPr>
                <w:rFonts w:eastAsiaTheme="minorEastAsia"/>
              </w:rPr>
              <w:t>4,008</w:t>
            </w:r>
          </w:p>
        </w:tc>
        <w:tc>
          <w:tcPr>
            <w:tcW w:w="1350" w:type="dxa"/>
          </w:tcPr>
          <w:p w:rsidR="001510D5" w:rsidRDefault="001510D5" w:rsidP="00EE26C3">
            <w:pPr>
              <w:jc w:val="center"/>
              <w:rPr>
                <w:rFonts w:eastAsiaTheme="minorEastAsia"/>
              </w:rPr>
            </w:pPr>
            <w:r>
              <w:rPr>
                <w:rFonts w:eastAsiaTheme="minorEastAsia"/>
              </w:rPr>
              <w:t>182,242</w:t>
            </w:r>
          </w:p>
        </w:tc>
        <w:tc>
          <w:tcPr>
            <w:tcW w:w="1530" w:type="dxa"/>
          </w:tcPr>
          <w:p w:rsidR="001510D5" w:rsidRDefault="001510D5" w:rsidP="00EE26C3">
            <w:pPr>
              <w:jc w:val="center"/>
              <w:rPr>
                <w:rFonts w:eastAsiaTheme="minorEastAsia"/>
              </w:rPr>
            </w:pPr>
            <w:r>
              <w:rPr>
                <w:rFonts w:eastAsiaTheme="minorEastAsia"/>
              </w:rPr>
              <w:t>2,296,238</w:t>
            </w:r>
          </w:p>
        </w:tc>
        <w:tc>
          <w:tcPr>
            <w:tcW w:w="1800" w:type="dxa"/>
          </w:tcPr>
          <w:p w:rsidR="001510D5" w:rsidRDefault="001510D5" w:rsidP="00EE26C3">
            <w:pPr>
              <w:jc w:val="center"/>
              <w:rPr>
                <w:rFonts w:eastAsiaTheme="minorEastAsia"/>
              </w:rPr>
            </w:pPr>
            <w:r>
              <w:rPr>
                <w:rFonts w:eastAsiaTheme="minorEastAsia"/>
              </w:rPr>
              <w:t>2,482,488</w:t>
            </w:r>
          </w:p>
        </w:tc>
        <w:tc>
          <w:tcPr>
            <w:tcW w:w="1908" w:type="dxa"/>
          </w:tcPr>
          <w:p w:rsidR="001510D5" w:rsidRDefault="001510D5" w:rsidP="00EE26C3">
            <w:pPr>
              <w:jc w:val="center"/>
              <w:rPr>
                <w:rFonts w:eastAsiaTheme="minorEastAsia"/>
              </w:rPr>
            </w:pPr>
            <w:r>
              <w:rPr>
                <w:rFonts w:eastAsiaTheme="minorEastAsia"/>
              </w:rPr>
              <w:t>NA</w:t>
            </w:r>
          </w:p>
        </w:tc>
      </w:tr>
    </w:tbl>
    <w:p w:rsidR="003310C0" w:rsidRDefault="003310C0" w:rsidP="0030266F">
      <w:pPr>
        <w:rPr>
          <w:rFonts w:eastAsiaTheme="minorEastAsia"/>
        </w:rPr>
      </w:pPr>
      <w:r>
        <w:rPr>
          <w:rFonts w:eastAsiaTheme="minorEastAsia"/>
        </w:rPr>
        <w:br/>
        <w:t xml:space="preserve">The measured values for this case were better than the calculated average for all passes. This can be </w:t>
      </w:r>
      <w:r>
        <w:rPr>
          <w:rFonts w:eastAsiaTheme="minorEastAsia"/>
        </w:rPr>
        <w:lastRenderedPageBreak/>
        <w:t>attributed to an approximately equal distribution of products under each respective manufacturer. The results will approach the worst case condition when the majority of products fall under one manufacturer. When there is effectively one manufacturer, this method is functionally compara</w:t>
      </w:r>
      <w:r w:rsidR="00421494">
        <w:rPr>
          <w:rFonts w:eastAsiaTheme="minorEastAsia"/>
        </w:rPr>
        <w:t xml:space="preserve">ble to blind comparison. The only exception to this being that organizing the products and listings by the product manufacturers is more efficient than comparing every listing to every product based on their manufacturer. This is why the worst-case for the three pass method is still faster than the blind comparison’s worst-case.  </w:t>
      </w:r>
    </w:p>
    <w:p w:rsidR="00421494" w:rsidRDefault="00755D4A" w:rsidP="0030266F">
      <w:pPr>
        <w:rPr>
          <w:rFonts w:eastAsiaTheme="minorEastAsia"/>
        </w:rPr>
      </w:pPr>
      <w:r>
        <w:rPr>
          <w:rFonts w:eastAsiaTheme="minorEastAsia"/>
        </w:rPr>
        <w:t>To verify the accuracy of the code, two methods were used:</w:t>
      </w:r>
    </w:p>
    <w:p w:rsidR="00755D4A" w:rsidRDefault="00755D4A" w:rsidP="00755D4A">
      <w:pPr>
        <w:pStyle w:val="ListParagraph"/>
        <w:numPr>
          <w:ilvl w:val="0"/>
          <w:numId w:val="2"/>
        </w:numPr>
        <w:rPr>
          <w:rFonts w:eastAsiaTheme="minorEastAsia"/>
        </w:rPr>
      </w:pPr>
      <w:r>
        <w:rPr>
          <w:rFonts w:eastAsiaTheme="minorEastAsia"/>
        </w:rPr>
        <w:t>Manually review the matches for any discrepancies</w:t>
      </w:r>
    </w:p>
    <w:p w:rsidR="00755D4A" w:rsidRDefault="00755D4A" w:rsidP="00755D4A">
      <w:pPr>
        <w:pStyle w:val="ListParagraph"/>
        <w:numPr>
          <w:ilvl w:val="0"/>
          <w:numId w:val="2"/>
        </w:numPr>
        <w:rPr>
          <w:rFonts w:eastAsiaTheme="minorEastAsia"/>
        </w:rPr>
      </w:pPr>
      <w:r>
        <w:rPr>
          <w:rFonts w:eastAsiaTheme="minorEastAsia"/>
        </w:rPr>
        <w:t>Programmatically check for listings that match with multiple products</w:t>
      </w:r>
    </w:p>
    <w:p w:rsidR="00730B1A" w:rsidRDefault="00755D4A" w:rsidP="00755D4A">
      <w:pPr>
        <w:rPr>
          <w:rFonts w:eastAsiaTheme="minorEastAsia"/>
        </w:rPr>
      </w:pPr>
      <w:r>
        <w:rPr>
          <w:rFonts w:eastAsiaTheme="minorEastAsia"/>
        </w:rPr>
        <w:t>By manually reviewing the results, an early implementation of the code was found to be returning false positives for matches. By simply searching for a product’s model within a listing</w:t>
      </w:r>
      <w:r w:rsidR="00730B1A">
        <w:rPr>
          <w:rFonts w:eastAsiaTheme="minorEastAsia"/>
        </w:rPr>
        <w:t>, model names that were a substring of other model names were being incorrectly matched. For example, the following product and listing would be deemed a match:</w:t>
      </w:r>
    </w:p>
    <w:p w:rsidR="00730B1A" w:rsidRPr="00730B1A" w:rsidRDefault="00730B1A" w:rsidP="00730B1A">
      <w:pPr>
        <w:ind w:left="720"/>
        <w:rPr>
          <w:rFonts w:eastAsiaTheme="minorEastAsia"/>
        </w:rPr>
      </w:pPr>
      <w:r w:rsidRPr="00730B1A">
        <w:rPr>
          <w:rFonts w:eastAsiaTheme="minorEastAsia"/>
        </w:rPr>
        <w:t>{"product_name":"Sony_Cyber-shot_DSC-TX1","manufacturer":"Sony","model":"DSC-TX1","family":"Cyber-shot","announced-date":"2009-08-05T20:00:00.000-04:00"}</w:t>
      </w:r>
    </w:p>
    <w:p w:rsidR="00755D4A" w:rsidRPr="00755D4A" w:rsidRDefault="00730B1A" w:rsidP="00730B1A">
      <w:pPr>
        <w:ind w:left="720"/>
        <w:rPr>
          <w:rFonts w:eastAsiaTheme="minorEastAsia"/>
        </w:rPr>
      </w:pPr>
      <w:r w:rsidRPr="00730B1A">
        <w:rPr>
          <w:rFonts w:eastAsiaTheme="minorEastAsia"/>
        </w:rPr>
        <w:t>{"</w:t>
      </w:r>
      <w:proofErr w:type="spellStart"/>
      <w:r w:rsidRPr="00730B1A">
        <w:rPr>
          <w:rFonts w:eastAsiaTheme="minorEastAsia"/>
        </w:rPr>
        <w:t>title":"Sony</w:t>
      </w:r>
      <w:proofErr w:type="spellEnd"/>
      <w:r w:rsidRPr="00730B1A">
        <w:rPr>
          <w:rFonts w:eastAsiaTheme="minorEastAsia"/>
        </w:rPr>
        <w:t xml:space="preserve"> - </w:t>
      </w:r>
      <w:proofErr w:type="spellStart"/>
      <w:r w:rsidRPr="00730B1A">
        <w:rPr>
          <w:rFonts w:eastAsiaTheme="minorEastAsia"/>
        </w:rPr>
        <w:t>CyberShot</w:t>
      </w:r>
      <w:proofErr w:type="spellEnd"/>
      <w:r w:rsidRPr="00730B1A">
        <w:rPr>
          <w:rFonts w:eastAsiaTheme="minorEastAsia"/>
        </w:rPr>
        <w:t xml:space="preserve"> - DSC-TX1H - </w:t>
      </w:r>
      <w:proofErr w:type="spellStart"/>
      <w:r w:rsidRPr="00730B1A">
        <w:rPr>
          <w:rFonts w:eastAsiaTheme="minorEastAsia"/>
        </w:rPr>
        <w:t>Appareil</w:t>
      </w:r>
      <w:proofErr w:type="spellEnd"/>
      <w:r w:rsidRPr="00730B1A">
        <w:rPr>
          <w:rFonts w:eastAsiaTheme="minorEastAsia"/>
        </w:rPr>
        <w:t xml:space="preserve"> photo </w:t>
      </w:r>
      <w:proofErr w:type="spellStart"/>
      <w:r w:rsidRPr="00730B1A">
        <w:rPr>
          <w:rFonts w:eastAsiaTheme="minorEastAsia"/>
        </w:rPr>
        <w:t>numérique</w:t>
      </w:r>
      <w:proofErr w:type="spellEnd"/>
      <w:r w:rsidRPr="00730B1A">
        <w:rPr>
          <w:rFonts w:eastAsiaTheme="minorEastAsia"/>
        </w:rPr>
        <w:t xml:space="preserve"> - 10,2 </w:t>
      </w:r>
      <w:proofErr w:type="spellStart"/>
      <w:r w:rsidRPr="00730B1A">
        <w:rPr>
          <w:rFonts w:eastAsiaTheme="minorEastAsia"/>
        </w:rPr>
        <w:t>Mpix</w:t>
      </w:r>
      <w:proofErr w:type="spellEnd"/>
      <w:r w:rsidRPr="00730B1A">
        <w:rPr>
          <w:rFonts w:eastAsiaTheme="minorEastAsia"/>
        </w:rPr>
        <w:t xml:space="preserve"> - Zoom </w:t>
      </w:r>
      <w:proofErr w:type="spellStart"/>
      <w:r w:rsidRPr="00730B1A">
        <w:rPr>
          <w:rFonts w:eastAsiaTheme="minorEastAsia"/>
        </w:rPr>
        <w:t>optique</w:t>
      </w:r>
      <w:proofErr w:type="spellEnd"/>
      <w:r w:rsidRPr="00730B1A">
        <w:rPr>
          <w:rFonts w:eastAsiaTheme="minorEastAsia"/>
        </w:rPr>
        <w:t xml:space="preserve"> 4x - </w:t>
      </w:r>
      <w:proofErr w:type="spellStart"/>
      <w:r w:rsidRPr="00730B1A">
        <w:rPr>
          <w:rFonts w:eastAsiaTheme="minorEastAsia"/>
        </w:rPr>
        <w:t>Ecran</w:t>
      </w:r>
      <w:proofErr w:type="spellEnd"/>
      <w:r w:rsidRPr="00730B1A">
        <w:rPr>
          <w:rFonts w:eastAsiaTheme="minorEastAsia"/>
        </w:rPr>
        <w:t xml:space="preserve"> LCD 2,7\" - 11 Mo - Gris","manufacturer":"Sony","currency":"EUR","price":"219.99"}</w:t>
      </w:r>
    </w:p>
    <w:p w:rsidR="0030266F" w:rsidRDefault="00730B1A">
      <w:r>
        <w:t>This is due to the fact that the product model “DSC-TX1” is found as a substring of “DSC-TX1H”. To resolve this issue, spaces were prepended and appended to the product model before comparison to the listing’s title string.</w:t>
      </w:r>
    </w:p>
    <w:p w:rsidR="00730B1A" w:rsidRDefault="00730B1A">
      <w:r>
        <w:t>The results of checking for duplicate matches identified another issue with the code. Listings were being matched to multiple products in the event that</w:t>
      </w:r>
      <w:r w:rsidR="004D4C36">
        <w:t xml:space="preserve"> a product’s model name was extended for a newer model. For example, “Pentax WG-1” and “Pentax WG-1 GPS” are two distinct products, yet would both match a listing titled “</w:t>
      </w:r>
      <w:r w:rsidR="004D4C36" w:rsidRPr="004D4C36">
        <w:t xml:space="preserve">PENTAX </w:t>
      </w:r>
      <w:proofErr w:type="spellStart"/>
      <w:r w:rsidR="004D4C36" w:rsidRPr="004D4C36">
        <w:t>Optio</w:t>
      </w:r>
      <w:proofErr w:type="spellEnd"/>
      <w:r w:rsidR="004D4C36" w:rsidRPr="004D4C36">
        <w:t xml:space="preserve"> WG-1 GPS </w:t>
      </w:r>
      <w:r w:rsidR="004D4C36">
        <w:t>–</w:t>
      </w:r>
      <w:r w:rsidR="004D4C36" w:rsidRPr="004D4C36">
        <w:t xml:space="preserve"> </w:t>
      </w:r>
      <w:proofErr w:type="spellStart"/>
      <w:r w:rsidR="004D4C36" w:rsidRPr="004D4C36">
        <w:t>gris</w:t>
      </w:r>
      <w:proofErr w:type="spellEnd"/>
      <w:r w:rsidR="004D4C36">
        <w:t>”. Nine cases of duplicate matches were found in the sample data.</w:t>
      </w:r>
    </w:p>
    <w:p w:rsidR="004D4C36" w:rsidRDefault="004D4C36">
      <w:r>
        <w:t>In the spirit of maintaining accuracy over maximizing the number of matches, both matches were discarded in the event of a duplicate match. While the sample data could be used to generate rules to determine the correct match, the inconsistency in naming conventions between companies could potentially result in the wrong match being selected as correct.</w:t>
      </w:r>
    </w:p>
    <w:p w:rsidR="004D4C36" w:rsidRPr="0030266F" w:rsidRDefault="004D4C36">
      <w:r>
        <w:t>In total, 4,263 matches were found, with the formatted results containing 323 entries. With nine duplicate cases identified and both</w:t>
      </w:r>
      <w:r w:rsidR="00723C86">
        <w:t xml:space="preserve"> matches being discarded, nine potentially correct matches were discarded resulting in a known loss of 0</w:t>
      </w:r>
      <w:bookmarkStart w:id="0" w:name="_GoBack"/>
      <w:bookmarkEnd w:id="0"/>
      <w:r w:rsidR="00723C86">
        <w:t>.211% of valid matches. For future work, these lost matches can be addressed. Additionally, analysis can be done to determine the best order in which to compare model and family names in order to minimize the number of comparisons.</w:t>
      </w:r>
    </w:p>
    <w:sectPr w:rsidR="004D4C36" w:rsidRPr="0030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3FC3"/>
    <w:multiLevelType w:val="hybridMultilevel"/>
    <w:tmpl w:val="CD4C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4577F"/>
    <w:multiLevelType w:val="hybridMultilevel"/>
    <w:tmpl w:val="D256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66F"/>
    <w:rsid w:val="000C67EB"/>
    <w:rsid w:val="001510D5"/>
    <w:rsid w:val="0030266F"/>
    <w:rsid w:val="003310C0"/>
    <w:rsid w:val="00403DD8"/>
    <w:rsid w:val="00421494"/>
    <w:rsid w:val="004D4C36"/>
    <w:rsid w:val="005748ED"/>
    <w:rsid w:val="005A5E70"/>
    <w:rsid w:val="00650D4E"/>
    <w:rsid w:val="00723C86"/>
    <w:rsid w:val="00730B1A"/>
    <w:rsid w:val="00755D4A"/>
    <w:rsid w:val="00EA7128"/>
    <w:rsid w:val="00EC03C7"/>
    <w:rsid w:val="00EE26C3"/>
    <w:rsid w:val="00F42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6F"/>
    <w:pPr>
      <w:ind w:left="720"/>
      <w:contextualSpacing/>
    </w:pPr>
  </w:style>
  <w:style w:type="table" w:styleId="TableGrid">
    <w:name w:val="Table Grid"/>
    <w:basedOn w:val="TableNormal"/>
    <w:uiPriority w:val="59"/>
    <w:rsid w:val="00650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0D4E"/>
    <w:rPr>
      <w:color w:val="808080"/>
    </w:rPr>
  </w:style>
  <w:style w:type="paragraph" w:styleId="BalloonText">
    <w:name w:val="Balloon Text"/>
    <w:basedOn w:val="Normal"/>
    <w:link w:val="BalloonTextChar"/>
    <w:uiPriority w:val="99"/>
    <w:semiHidden/>
    <w:unhideWhenUsed/>
    <w:rsid w:val="00650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6F"/>
    <w:pPr>
      <w:ind w:left="720"/>
      <w:contextualSpacing/>
    </w:pPr>
  </w:style>
  <w:style w:type="table" w:styleId="TableGrid">
    <w:name w:val="Table Grid"/>
    <w:basedOn w:val="TableNormal"/>
    <w:uiPriority w:val="59"/>
    <w:rsid w:val="00650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0D4E"/>
    <w:rPr>
      <w:color w:val="808080"/>
    </w:rPr>
  </w:style>
  <w:style w:type="paragraph" w:styleId="BalloonText">
    <w:name w:val="Balloon Text"/>
    <w:basedOn w:val="Normal"/>
    <w:link w:val="BalloonTextChar"/>
    <w:uiPriority w:val="99"/>
    <w:semiHidden/>
    <w:unhideWhenUsed/>
    <w:rsid w:val="00650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Essar Steel Algoma Inc.</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rilytwyn10</dc:creator>
  <cp:lastModifiedBy>rilytwyn10</cp:lastModifiedBy>
  <cp:revision>2</cp:revision>
  <dcterms:created xsi:type="dcterms:W3CDTF">2015-06-10T07:30:00Z</dcterms:created>
  <dcterms:modified xsi:type="dcterms:W3CDTF">2015-06-19T05:13:00Z</dcterms:modified>
</cp:coreProperties>
</file>