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1A56DB"/>
          <w:sz w:val="36"/>
        </w:rPr>
        <w:t>REQUEST FOR QUOTATION (RFQ)</w:t>
      </w:r>
    </w:p>
    <w:p>
      <w:pPr>
        <w:spacing w:before="280" w:after="60"/>
      </w:pPr>
      <w:r>
        <w:rPr>
          <w:b/>
          <w:color w:val="1E40AF"/>
          <w:sz w:val="26"/>
        </w:rPr>
        <w:t>Brenner Automotive Systems AG</w:t>
      </w:r>
    </w:p>
    <w:p>
      <w:pPr>
        <w:spacing w:before="160" w:after="40"/>
      </w:pPr>
      <w:r>
        <w:rPr>
          <w:b/>
          <w:color w:val="37518A"/>
          <w:sz w:val="22"/>
        </w:rPr>
        <w:t>Antriebstechnik — Neues Werk Bratislava</w:t>
      </w:r>
    </w:p>
    <w:p>
      <w:pPr>
        <w:spacing w:before="20" w:after="40"/>
      </w:pPr>
      <w:r>
        <w:rPr>
          <w:sz w:val="20"/>
        </w:rPr>
        <w:t>| | |</w:t>
      </w:r>
    </w:p>
    <w:p>
      <w:pPr>
        <w:spacing w:before="20" w:after="40"/>
      </w:pPr>
      <w:r>
        <w:rPr>
          <w:sz w:val="20"/>
        </w:rPr>
        <w:t>|---|---|</w:t>
      </w:r>
    </w:p>
    <w:p>
      <w:pPr>
        <w:spacing w:before="20" w:after="40"/>
      </w:pPr>
      <w:r>
        <w:rPr>
          <w:sz w:val="20"/>
        </w:rPr>
        <w:t xml:space="preserve">| </w:t>
      </w:r>
      <w:r>
        <w:rPr>
          <w:b/>
          <w:sz w:val="20"/>
        </w:rPr>
        <w:t>Dokument-Nr.</w:t>
      </w:r>
      <w:r>
        <w:rPr>
          <w:sz w:val="20"/>
        </w:rPr>
        <w:t xml:space="preserve"> | BAS-PURCH-2025-0441 |</w:t>
      </w:r>
    </w:p>
    <w:p>
      <w:pPr>
        <w:spacing w:before="20" w:after="40"/>
      </w:pPr>
      <w:r>
        <w:rPr>
          <w:sz w:val="20"/>
        </w:rPr>
        <w:t xml:space="preserve">| </w:t>
      </w:r>
      <w:r>
        <w:rPr>
          <w:b/>
          <w:sz w:val="20"/>
        </w:rPr>
        <w:t>Datum</w:t>
      </w:r>
      <w:r>
        <w:rPr>
          <w:sz w:val="20"/>
        </w:rPr>
        <w:t xml:space="preserve"> | 28. April 2025 |</w:t>
      </w:r>
    </w:p>
    <w:p>
      <w:pPr>
        <w:spacing w:before="20" w:after="40"/>
      </w:pPr>
      <w:r>
        <w:rPr>
          <w:sz w:val="20"/>
        </w:rPr>
        <w:t xml:space="preserve">| </w:t>
      </w:r>
      <w:r>
        <w:rPr>
          <w:b/>
          <w:sz w:val="20"/>
        </w:rPr>
        <w:t>Anfragender</w:t>
      </w:r>
      <w:r>
        <w:rPr>
          <w:sz w:val="20"/>
        </w:rPr>
        <w:t xml:space="preserve"> | Einkauf, Brenner Automotive Systems AG, Stuttgart |</w:t>
      </w:r>
    </w:p>
    <w:p>
      <w:pPr>
        <w:spacing w:before="20" w:after="40"/>
      </w:pPr>
      <w:r>
        <w:rPr>
          <w:sz w:val="20"/>
        </w:rPr>
        <w:t xml:space="preserve">| </w:t>
      </w:r>
      <w:r>
        <w:rPr>
          <w:b/>
          <w:sz w:val="20"/>
        </w:rPr>
        <w:t>Ansprechpartner</w:t>
      </w:r>
      <w:r>
        <w:rPr>
          <w:sz w:val="20"/>
        </w:rPr>
        <w:t xml:space="preserve"> | Frau Ingrid Hoffmann, Senior Einkäuferin Investitionsgüter |</w:t>
      </w:r>
    </w:p>
    <w:p>
      <w:pPr>
        <w:spacing w:before="20" w:after="40"/>
      </w:pPr>
      <w:r>
        <w:rPr>
          <w:sz w:val="20"/>
        </w:rPr>
        <w:t xml:space="preserve">| </w:t>
      </w:r>
      <w:r>
        <w:rPr>
          <w:b/>
          <w:sz w:val="20"/>
        </w:rPr>
        <w:t>Antwortfrist</w:t>
      </w:r>
      <w:r>
        <w:rPr>
          <w:sz w:val="20"/>
        </w:rPr>
        <w:t xml:space="preserve"> | 23. Mai 2025, 17:00 Uhr |</w:t>
      </w:r>
    </w:p>
    <w:p>
      <w:pPr>
        <w:spacing w:before="20" w:after="40"/>
      </w:pPr>
      <w:r>
        <w:rPr>
          <w:sz w:val="20"/>
        </w:rPr>
        <w:t xml:space="preserve">| </w:t>
      </w:r>
      <w:r>
        <w:rPr>
          <w:b/>
          <w:sz w:val="20"/>
        </w:rPr>
        <w:t>Angebotsabgabe</w:t>
      </w:r>
      <w:r>
        <w:rPr>
          <w:sz w:val="20"/>
        </w:rPr>
        <w:t xml:space="preserve"> | per E-Mail an i.hoffmann@brenner-automotive.de und procurement@brenner-automotive.de |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60"/>
      </w:pPr>
      <w:r>
        <w:rPr>
          <w:b/>
          <w:color w:val="1E40AF"/>
          <w:sz w:val="26"/>
        </w:rPr>
        <w:t>1. Hintergrund und Projektbeschreibung</w:t>
      </w:r>
    </w:p>
    <w:p>
      <w:pPr>
        <w:spacing w:before="20" w:after="40"/>
      </w:pPr>
      <w:r>
        <w:rPr>
          <w:sz w:val="20"/>
        </w:rPr>
        <w:t xml:space="preserve">Brenner Automotive Systems AG errichtet in Bratislava (Slowakei) ein neues Produktionswerk für Fahrzeugstrukturteile (Karosseriekomponenten). Produktionsstart ist für </w:t>
      </w:r>
      <w:r>
        <w:rPr>
          <w:b/>
          <w:sz w:val="20"/>
        </w:rPr>
        <w:t>Q4/2025</w:t>
      </w:r>
      <w:r>
        <w:rPr>
          <w:sz w:val="20"/>
        </w:rPr>
        <w:t xml:space="preserve"> geplant. Das Werk umfasst 3 Fertigungslinien sowie 2 Prüfstände.</w:t>
      </w:r>
    </w:p>
    <w:p>
      <w:pPr>
        <w:spacing w:before="20" w:after="40"/>
      </w:pPr>
      <w:r>
        <w:rPr>
          <w:sz w:val="20"/>
        </w:rPr>
        <w:t>Wir suchen einen Lieferanten für industrielle Antriebs- und Getriebesysteme für dieses Werk. Es handelt sich um einen Rahmenauftrag, der sowohl die Erstausstattung als auch den laufenden Betrieb (Ersatzteile, Service) umfasst.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60"/>
      </w:pPr>
      <w:r>
        <w:rPr>
          <w:b/>
          <w:color w:val="1E40AF"/>
          <w:sz w:val="26"/>
        </w:rPr>
        <w:t>2. Technische Anforderungen</w:t>
      </w:r>
    </w:p>
    <w:p>
      <w:pPr>
        <w:spacing w:before="160" w:after="40"/>
      </w:pPr>
      <w:r>
        <w:rPr>
          <w:b/>
          <w:color w:val="37518A"/>
          <w:sz w:val="22"/>
        </w:rPr>
        <w:t>2.1 Servoantriebe (Pos. 1)</w:t>
      </w:r>
    </w:p>
    <w:p>
      <w:pPr>
        <w:spacing w:before="20" w:after="40"/>
      </w:pPr>
      <w:r>
        <w:rPr>
          <w:sz w:val="20"/>
        </w:rPr>
      </w:r>
      <w:r>
        <w:rPr>
          <w:b/>
          <w:sz w:val="20"/>
        </w:rPr>
        <w:t>Menge:</w:t>
      </w:r>
      <w:r>
        <w:rPr>
          <w:sz w:val="20"/>
        </w:rPr>
        <w:t xml:space="preserve"> 60 Stück</w:t>
      </w:r>
    </w:p>
    <w:p>
      <w:pPr>
        <w:spacing w:before="20" w:after="40"/>
      </w:pPr>
      <w:r>
        <w:rPr>
          <w:sz w:val="20"/>
        </w:rPr>
      </w:r>
      <w:r>
        <w:rPr>
          <w:b/>
          <w:sz w:val="20"/>
        </w:rPr>
        <w:t>Nennleistung:</w:t>
      </w:r>
      <w:r>
        <w:rPr>
          <w:sz w:val="20"/>
        </w:rPr>
        <w:t xml:space="preserve"> 22 kW</w:t>
      </w:r>
    </w:p>
    <w:p>
      <w:pPr>
        <w:spacing w:before="20" w:after="40"/>
      </w:pPr>
      <w:r>
        <w:rPr>
          <w:sz w:val="20"/>
        </w:rPr>
      </w:r>
      <w:r>
        <w:rPr>
          <w:b/>
          <w:sz w:val="20"/>
        </w:rPr>
        <w:t>Pflichtanforderungen</w:t>
      </w:r>
      <w:r>
        <w:rPr>
          <w:sz w:val="20"/>
        </w:rPr>
      </w:r>
    </w:p>
    <w:p>
      <w:pPr>
        <w:pStyle w:val="ListBullet"/>
        <w:spacing w:before="20" w:after="20"/>
      </w:pPr>
      <w:r>
        <w:rPr>
          <w:sz w:val="20"/>
        </w:rPr>
        <w:t>Integrierte Sicherheitsfunktionen: STO, SS1, SLS (Safety-Integrated)</w:t>
      </w:r>
    </w:p>
    <w:p>
      <w:pPr>
        <w:pStyle w:val="ListBullet"/>
        <w:spacing w:before="20" w:after="20"/>
      </w:pPr>
      <w:r>
        <w:rPr>
          <w:sz w:val="20"/>
        </w:rPr>
        <w:t xml:space="preserve">Feldbusschnittstelle: </w:t>
      </w:r>
      <w:r>
        <w:rPr>
          <w:b/>
          <w:sz w:val="20"/>
        </w:rPr>
        <w:t>PROFINET UND EtherCAT</w:t>
      </w:r>
      <w:r>
        <w:rPr>
          <w:sz w:val="20"/>
        </w:rPr>
        <w:t xml:space="preserve"> — beide Protokolle müssen nativ unterstützt werden (kein Konverter)</w:t>
      </w:r>
    </w:p>
    <w:p>
      <w:pPr>
        <w:pStyle w:val="ListBullet"/>
        <w:spacing w:before="20" w:after="20"/>
      </w:pPr>
      <w:r>
        <w:rPr>
          <w:sz w:val="20"/>
        </w:rPr>
        <w:t>Schutzklasse: min. IP65</w:t>
      </w:r>
    </w:p>
    <w:p>
      <w:pPr>
        <w:pStyle w:val="ListBullet"/>
        <w:spacing w:before="20" w:after="20"/>
      </w:pPr>
      <w:r>
        <w:rPr>
          <w:sz w:val="20"/>
        </w:rPr>
        <w:t>Encoder: Multiturn-Absolutencoder, batterielose Ausführung</w:t>
      </w:r>
    </w:p>
    <w:p>
      <w:pPr>
        <w:pStyle w:val="ListBullet"/>
        <w:spacing w:before="20" w:after="20"/>
      </w:pPr>
      <w:r>
        <w:rPr>
          <w:sz w:val="20"/>
        </w:rPr>
        <w:t>Zertifizierungen: CE, SIL2, UL</w:t>
      </w:r>
    </w:p>
    <w:p>
      <w:pPr>
        <w:spacing w:before="20" w:after="40"/>
      </w:pPr>
      <w:r>
        <w:rPr>
          <w:sz w:val="20"/>
        </w:rPr>
      </w:r>
      <w:r>
        <w:rPr>
          <w:b/>
          <w:sz w:val="20"/>
        </w:rPr>
        <w:t>Wünschenswert</w:t>
      </w:r>
      <w:r>
        <w:rPr>
          <w:sz w:val="20"/>
        </w:rPr>
      </w:r>
    </w:p>
    <w:p>
      <w:pPr>
        <w:pStyle w:val="ListBullet"/>
        <w:spacing w:before="20" w:after="20"/>
      </w:pPr>
      <w:r>
        <w:rPr>
          <w:sz w:val="20"/>
        </w:rPr>
        <w:t>Cloud-Parametrierung und Ferndiagnose</w:t>
      </w:r>
    </w:p>
    <w:p>
      <w:pPr>
        <w:pStyle w:val="ListBullet"/>
        <w:spacing w:before="20" w:after="20"/>
      </w:pPr>
      <w:r>
        <w:rPr>
          <w:sz w:val="20"/>
        </w:rPr>
        <w:t>DSGVO-konforme Datenverarbeitung bei Remote-Funktionen</w:t>
      </w:r>
    </w:p>
    <w:p>
      <w:pPr>
        <w:spacing w:before="160" w:after="40"/>
      </w:pPr>
      <w:r>
        <w:rPr>
          <w:b/>
          <w:color w:val="37518A"/>
          <w:sz w:val="22"/>
        </w:rPr>
        <w:t>2.2 Präzisionsgetriebe (Pos. 2)</w:t>
      </w:r>
    </w:p>
    <w:p>
      <w:pPr>
        <w:spacing w:before="20" w:after="40"/>
      </w:pPr>
      <w:r>
        <w:rPr>
          <w:sz w:val="20"/>
        </w:rPr>
      </w:r>
      <w:r>
        <w:rPr>
          <w:b/>
          <w:sz w:val="20"/>
        </w:rPr>
        <w:t>Menge:</w:t>
      </w:r>
      <w:r>
        <w:rPr>
          <w:sz w:val="20"/>
        </w:rPr>
        <w:t xml:space="preserve"> 30 Stück</w:t>
      </w:r>
    </w:p>
    <w:p>
      <w:pPr>
        <w:spacing w:before="20" w:after="40"/>
      </w:pPr>
      <w:r>
        <w:rPr>
          <w:sz w:val="20"/>
        </w:rPr>
      </w:r>
      <w:r>
        <w:rPr>
          <w:b/>
          <w:sz w:val="20"/>
        </w:rPr>
        <w:t>Max. Drehmoment:</w:t>
      </w:r>
      <w:r>
        <w:rPr>
          <w:sz w:val="20"/>
        </w:rPr>
        <w:t xml:space="preserve"> 3.000 Nm</w:t>
      </w:r>
    </w:p>
    <w:p>
      <w:pPr>
        <w:spacing w:before="20" w:after="40"/>
      </w:pPr>
      <w:r>
        <w:rPr>
          <w:sz w:val="20"/>
        </w:rPr>
      </w:r>
      <w:r>
        <w:rPr>
          <w:b/>
          <w:sz w:val="20"/>
        </w:rPr>
        <w:t>Übersetzungsbereich:</w:t>
      </w:r>
      <w:r>
        <w:rPr>
          <w:sz w:val="20"/>
        </w:rPr>
        <w:t xml:space="preserve"> 10:1 bis 250:1</w:t>
      </w:r>
    </w:p>
    <w:p>
      <w:pPr>
        <w:spacing w:before="20" w:after="40"/>
      </w:pPr>
      <w:r>
        <w:rPr>
          <w:sz w:val="20"/>
        </w:rPr>
      </w:r>
      <w:r>
        <w:rPr>
          <w:b/>
          <w:sz w:val="20"/>
        </w:rPr>
        <w:t>Pflichtanforderungen</w:t>
      </w:r>
      <w:r>
        <w:rPr>
          <w:sz w:val="20"/>
        </w:rPr>
      </w:r>
    </w:p>
    <w:p>
      <w:pPr>
        <w:pStyle w:val="ListBullet"/>
        <w:spacing w:before="20" w:after="20"/>
      </w:pPr>
      <w:r>
        <w:rPr>
          <w:sz w:val="20"/>
        </w:rPr>
        <w:t>Spielfreiheit: ≤1 Bogenminute</w:t>
      </w:r>
    </w:p>
    <w:p>
      <w:pPr>
        <w:pStyle w:val="ListBullet"/>
        <w:spacing w:before="20" w:after="20"/>
      </w:pPr>
      <w:r>
        <w:rPr>
          <w:sz w:val="20"/>
        </w:rPr>
        <w:t>Lebensdauerschmierung</w:t>
      </w:r>
    </w:p>
    <w:p>
      <w:pPr>
        <w:pStyle w:val="ListBullet"/>
        <w:spacing w:before="20" w:after="20"/>
      </w:pPr>
      <w:r>
        <w:rPr>
          <w:sz w:val="20"/>
        </w:rPr>
        <w:t>IP65 Standard</w:t>
      </w:r>
    </w:p>
    <w:p>
      <w:pPr>
        <w:pStyle w:val="ListBullet"/>
        <w:spacing w:before="20" w:after="20"/>
      </w:pPr>
      <w:r>
        <w:rPr>
          <w:sz w:val="20"/>
        </w:rPr>
        <w:t>Flanschkompatibilität mit Antrieben aus Pos. 1</w:t>
      </w:r>
    </w:p>
    <w:p>
      <w:pPr>
        <w:spacing w:before="20" w:after="40"/>
      </w:pPr>
      <w:r>
        <w:rPr>
          <w:sz w:val="20"/>
        </w:rPr>
      </w:r>
      <w:r>
        <w:rPr>
          <w:b/>
          <w:sz w:val="20"/>
        </w:rPr>
        <w:t>Wünschenswert</w:t>
      </w:r>
      <w:r>
        <w:rPr>
          <w:sz w:val="20"/>
        </w:rPr>
      </w:r>
    </w:p>
    <w:p>
      <w:pPr>
        <w:pStyle w:val="ListBullet"/>
        <w:spacing w:before="20" w:after="20"/>
      </w:pPr>
      <w:r>
        <w:rPr>
          <w:sz w:val="20"/>
        </w:rPr>
        <w:t>IoT-fähige Ausführung (Temperatur- und Vibrationsüberwachung)</w:t>
      </w:r>
    </w:p>
    <w:p>
      <w:pPr>
        <w:spacing w:before="160" w:after="40"/>
      </w:pPr>
      <w:r>
        <w:rPr>
          <w:b/>
          <w:color w:val="37518A"/>
          <w:sz w:val="22"/>
        </w:rPr>
        <w:t>2.3 Wartung und Service (Pos. 3)</w:t>
      </w:r>
    </w:p>
    <w:p>
      <w:pPr>
        <w:spacing w:before="20" w:after="40"/>
      </w:pPr>
      <w:r>
        <w:rPr>
          <w:sz w:val="20"/>
        </w:rPr>
        <w:t>Für die gesamte installierte Basis (Pos. 1 + 2) wird ein Servicevertrag gesucht mit folgenden Anforderungen:</w:t>
      </w:r>
    </w:p>
    <w:p>
      <w:pPr>
        <w:pStyle w:val="ListBullet"/>
        <w:spacing w:before="20" w:after="20"/>
      </w:pPr>
      <w:r>
        <w:rPr>
          <w:sz w:val="20"/>
        </w:rPr>
        <w:t>Reaktionszeit Vor-Ort: max. 8 Stunden (Bratislava-Standort)</w:t>
      </w:r>
    </w:p>
    <w:p>
      <w:pPr>
        <w:pStyle w:val="ListBullet"/>
        <w:spacing w:before="20" w:after="20"/>
      </w:pPr>
      <w:r>
        <w:rPr>
          <w:sz w:val="20"/>
        </w:rPr>
        <w:t>24/7-Hotline</w:t>
      </w:r>
    </w:p>
    <w:p>
      <w:pPr>
        <w:pStyle w:val="ListBullet"/>
        <w:spacing w:before="20" w:after="20"/>
      </w:pPr>
      <w:r>
        <w:rPr>
          <w:sz w:val="20"/>
        </w:rPr>
        <w:t>Ersatzteil-Verfügbarkeit: kritische Teile innerhalb 24h am Standort</w:t>
      </w:r>
    </w:p>
    <w:p>
      <w:pPr>
        <w:pStyle w:val="ListBullet"/>
        <w:spacing w:before="20" w:after="20"/>
      </w:pPr>
      <w:r>
        <w:rPr>
          <w:sz w:val="20"/>
        </w:rPr>
        <w:t>Vertragslaufzeit: 36 Monate mit Verlängerungsoption</w:t>
      </w:r>
    </w:p>
    <w:p>
      <w:pPr>
        <w:pStyle w:val="ListBullet"/>
        <w:spacing w:before="20" w:after="20"/>
      </w:pPr>
      <w:r>
        <w:rPr>
          <w:sz w:val="20"/>
        </w:rPr>
      </w:r>
      <w:r>
        <w:rPr>
          <w:b/>
          <w:sz w:val="20"/>
        </w:rPr>
        <w:t>Reporting:</w:t>
      </w:r>
      <w:r>
        <w:rPr>
          <w:sz w:val="20"/>
        </w:rPr>
        <w:t xml:space="preserve"> Vierteljährliche Berichte zu Anlagenverfügbarkeit und präventiven Maßnahmen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60"/>
      </w:pPr>
      <w:r>
        <w:rPr>
          <w:b/>
          <w:color w:val="1E40AF"/>
          <w:sz w:val="26"/>
        </w:rPr>
        <w:t>3. Kommerzielle Anforderungen</w:t>
      </w:r>
    </w:p>
    <w:p>
      <w:pPr>
        <w:spacing w:before="160" w:after="40"/>
      </w:pPr>
      <w:r>
        <w:rPr>
          <w:b/>
          <w:color w:val="37518A"/>
          <w:sz w:val="22"/>
        </w:rPr>
        <w:t>3.1 Preisstruktur</w:t>
      </w:r>
    </w:p>
    <w:p>
      <w:pPr>
        <w:spacing w:before="20" w:after="40"/>
      </w:pPr>
      <w:r>
        <w:rPr>
          <w:sz w:val="20"/>
        </w:rPr>
        <w:t>Bitte gliedern Sie Ihr Angebot wie folgt:</w:t>
      </w:r>
    </w:p>
    <w:p>
      <w:pPr>
        <w:pStyle w:val="ListBullet"/>
        <w:spacing w:before="20" w:after="20"/>
      </w:pPr>
      <w:r>
        <w:rPr>
          <w:sz w:val="20"/>
        </w:rPr>
        <w:t>Einzelpreis je Antrieb (Pos. 1)</w:t>
      </w:r>
    </w:p>
    <w:p>
      <w:pPr>
        <w:pStyle w:val="ListBullet"/>
        <w:spacing w:before="20" w:after="20"/>
      </w:pPr>
      <w:r>
        <w:rPr>
          <w:sz w:val="20"/>
        </w:rPr>
        <w:t>Einzelpreis je Getriebe (Pos. 2)</w:t>
      </w:r>
    </w:p>
    <w:p>
      <w:pPr>
        <w:pStyle w:val="ListBullet"/>
        <w:spacing w:before="20" w:after="20"/>
      </w:pPr>
      <w:r>
        <w:rPr>
          <w:sz w:val="20"/>
        </w:rPr>
        <w:t>Jahrespreis Servicevertrag (Pos. 3)</w:t>
      </w:r>
    </w:p>
    <w:p>
      <w:pPr>
        <w:pStyle w:val="ListBullet"/>
        <w:spacing w:before="20" w:after="20"/>
      </w:pPr>
      <w:r>
        <w:rPr>
          <w:sz w:val="20"/>
        </w:rPr>
        <w:t>Gesamtpreis Erstausstattung</w:t>
      </w:r>
    </w:p>
    <w:p>
      <w:pPr>
        <w:spacing w:before="160" w:after="40"/>
      </w:pPr>
      <w:r>
        <w:rPr>
          <w:b/>
          <w:color w:val="37518A"/>
          <w:sz w:val="22"/>
        </w:rPr>
        <w:t>3.2 Lieferzeit</w:t>
      </w:r>
    </w:p>
    <w:p>
      <w:pPr>
        <w:spacing w:before="20" w:after="40"/>
      </w:pPr>
      <w:r>
        <w:rPr>
          <w:sz w:val="20"/>
        </w:rPr>
      </w:r>
      <w:r>
        <w:rPr>
          <w:b/>
          <w:sz w:val="20"/>
        </w:rPr>
        <w:t>Verbindliche Anforderung:</w:t>
      </w:r>
      <w:r>
        <w:rPr>
          <w:sz w:val="20"/>
        </w:rPr>
        <w:t xml:space="preserve"> Gesamtlieferung bis spätestens </w:t>
      </w:r>
      <w:r>
        <w:rPr>
          <w:b/>
          <w:sz w:val="20"/>
        </w:rPr>
        <w:t>15. September 2025</w:t>
      </w:r>
      <w:r>
        <w:rPr>
          <w:sz w:val="20"/>
        </w:rPr>
        <w:t xml:space="preserve"> (12 Wochen nach Auftragserteilung, geplant ca. 15. Juni 2025). Lieferverzug wird mit 0,5 % des Auftragswerts je angefangener Woche Verzug vertraglich vereinbart.</w:t>
      </w:r>
    </w:p>
    <w:p>
      <w:pPr>
        <w:spacing w:before="160" w:after="40"/>
      </w:pPr>
      <w:r>
        <w:rPr>
          <w:b/>
          <w:color w:val="37518A"/>
          <w:sz w:val="22"/>
        </w:rPr>
        <w:t>3.3 Zahlungsbedingungen</w:t>
      </w:r>
    </w:p>
    <w:p>
      <w:pPr>
        <w:spacing w:before="20" w:after="40"/>
      </w:pPr>
      <w:r>
        <w:rPr>
          <w:sz w:val="20"/>
        </w:rPr>
        <w:t xml:space="preserve">Brenner-Standard: </w:t>
      </w:r>
      <w:r>
        <w:rPr>
          <w:b/>
          <w:sz w:val="20"/>
        </w:rPr>
        <w:t>60 Tage netto</w:t>
      </w:r>
      <w:r>
        <w:rPr>
          <w:sz w:val="20"/>
        </w:rPr>
        <w:t xml:space="preserve"> ab Lieferung und Rechnungseingang. Anzahlungen werden grundsätzlich nicht geleistet. Bitte bestätigen Sie die Akzeptanz oder nennen Sie Alternativen.</w:t>
      </w:r>
    </w:p>
    <w:p>
      <w:pPr>
        <w:spacing w:before="160" w:after="40"/>
      </w:pPr>
      <w:r>
        <w:rPr>
          <w:b/>
          <w:color w:val="37518A"/>
          <w:sz w:val="22"/>
        </w:rPr>
        <w:t>3.4 Rahmenvertrag</w:t>
      </w:r>
    </w:p>
    <w:p>
      <w:pPr>
        <w:spacing w:before="20" w:after="40"/>
      </w:pPr>
      <w:r>
        <w:rPr>
          <w:sz w:val="20"/>
        </w:rPr>
        <w:t xml:space="preserve">Wir beabsichtigen, mit dem beauftragten Lieferanten einen </w:t>
      </w:r>
      <w:r>
        <w:rPr>
          <w:b/>
          <w:sz w:val="20"/>
        </w:rPr>
        <w:t>3-Jahres-Rahmenvertrag</w:t>
      </w:r>
      <w:r>
        <w:rPr>
          <w:sz w:val="20"/>
        </w:rPr>
        <w:t xml:space="preserve"> für Nachbestellungen und Ersatzteile abzuschließen. Preise sollen für 24 Monate festgeschrieben werden.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60"/>
      </w:pPr>
      <w:r>
        <w:rPr>
          <w:b/>
          <w:color w:val="1E40AF"/>
          <w:sz w:val="26"/>
        </w:rPr>
        <w:t>4. Bewertungskriterien</w:t>
      </w:r>
    </w:p>
    <w:p>
      <w:pPr>
        <w:spacing w:before="20" w:after="40"/>
      </w:pPr>
      <w:r>
        <w:rPr>
          <w:sz w:val="20"/>
        </w:rPr>
        <w:t>Angebote werden nach folgenden Kriterien bewertet:</w:t>
      </w:r>
    </w:p>
    <w:p>
      <w:pPr>
        <w:spacing w:before="20" w:after="40"/>
      </w:pPr>
      <w:r>
        <w:rPr>
          <w:sz w:val="20"/>
        </w:rPr>
        <w:t>| Kriterium | Gewichtung |</w:t>
      </w:r>
    </w:p>
    <w:p>
      <w:pPr>
        <w:spacing w:before="20" w:after="40"/>
      </w:pPr>
      <w:r>
        <w:rPr>
          <w:sz w:val="20"/>
        </w:rPr>
        <w:t>|---|---|</w:t>
      </w:r>
    </w:p>
    <w:p>
      <w:pPr>
        <w:spacing w:before="20" w:after="40"/>
      </w:pPr>
      <w:r>
        <w:rPr>
          <w:sz w:val="20"/>
        </w:rPr>
        <w:t>| Technische Eignung (Erfüllung Pflichtanforderungen) | 35 % |</w:t>
      </w:r>
    </w:p>
    <w:p>
      <w:pPr>
        <w:spacing w:before="20" w:after="40"/>
      </w:pPr>
      <w:r>
        <w:rPr>
          <w:sz w:val="20"/>
        </w:rPr>
        <w:t>| Gesamtpreis (TCO 3 Jahre) | 30 % |</w:t>
      </w:r>
    </w:p>
    <w:p>
      <w:pPr>
        <w:spacing w:before="20" w:after="40"/>
      </w:pPr>
      <w:r>
        <w:rPr>
          <w:sz w:val="20"/>
        </w:rPr>
        <w:t>| Lieferzuverlässigkeit / Referenzen | 20 % |</w:t>
      </w:r>
    </w:p>
    <w:p>
      <w:pPr>
        <w:spacing w:before="20" w:after="40"/>
      </w:pPr>
      <w:r>
        <w:rPr>
          <w:sz w:val="20"/>
        </w:rPr>
        <w:t>| Service-Kapazität Bratislava / DACH | 10 % |</w:t>
      </w:r>
    </w:p>
    <w:p>
      <w:pPr>
        <w:spacing w:before="20" w:after="40"/>
      </w:pPr>
      <w:r>
        <w:rPr>
          <w:sz w:val="20"/>
        </w:rPr>
        <w:t>| Nachhaltigkeit / CO₂-Reporting | 5 % |</w:t>
      </w:r>
    </w:p>
    <w:p>
      <w:pPr>
        <w:spacing w:before="20" w:after="40"/>
      </w:pPr>
      <w:r>
        <w:rPr>
          <w:sz w:val="20"/>
        </w:rPr>
        <w:t>Angebote, die Pflichtanforderungen nicht vollständig erfüllen, werden nicht weiter berücksichtigt.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60"/>
      </w:pPr>
      <w:r>
        <w:rPr>
          <w:b/>
          <w:color w:val="1E40AF"/>
          <w:sz w:val="26"/>
        </w:rPr>
        <w:t>5. Formale Anforderungen</w:t>
      </w:r>
    </w:p>
    <w:p>
      <w:pPr>
        <w:spacing w:before="20" w:after="40"/>
      </w:pPr>
      <w:r>
        <w:rPr>
          <w:sz w:val="20"/>
        </w:rPr>
        <w:t>Bitte reichen Sie die folgenden Unterlagen ein:</w:t>
      </w:r>
    </w:p>
    <w:p>
      <w:pPr>
        <w:pStyle w:val="ListNumber"/>
        <w:spacing w:before="20" w:after="20"/>
      </w:pPr>
      <w:r>
        <w:rPr>
          <w:sz w:val="20"/>
        </w:rPr>
        <w:t>Technisches Datenblatt je Produkttyp (auf Englisch oder Deutsch)</w:t>
      </w:r>
    </w:p>
    <w:p>
      <w:pPr>
        <w:pStyle w:val="ListNumber"/>
        <w:spacing w:before="20" w:after="20"/>
      </w:pPr>
      <w:r>
        <w:rPr>
          <w:sz w:val="20"/>
        </w:rPr>
        <w:t>Ausgefülltes Preisblatt (Vorlage folgt als Anlage)</w:t>
      </w:r>
    </w:p>
    <w:p>
      <w:pPr>
        <w:pStyle w:val="ListNumber"/>
        <w:spacing w:before="20" w:after="20"/>
      </w:pPr>
      <w:r>
        <w:rPr>
          <w:sz w:val="20"/>
        </w:rPr>
        <w:t>Referenzliste (≥3 vergleichbare Projekte, Automotive-Segment bevorzugt)</w:t>
      </w:r>
    </w:p>
    <w:p>
      <w:pPr>
        <w:pStyle w:val="ListNumber"/>
        <w:spacing w:before="20" w:after="20"/>
      </w:pPr>
      <w:r>
        <w:rPr>
          <w:sz w:val="20"/>
        </w:rPr>
        <w:t>Zertifikate (CE, SIL2, UL)</w:t>
      </w:r>
    </w:p>
    <w:p>
      <w:pPr>
        <w:pStyle w:val="ListNumber"/>
        <w:spacing w:before="20" w:after="20"/>
      </w:pPr>
      <w:r>
        <w:rPr>
          <w:sz w:val="20"/>
        </w:rPr>
        <w:t>Servicekonzept Bratislava mit Techniker-Ressourcen und Reaktionszeit-Nachweis</w:t>
      </w:r>
    </w:p>
    <w:p>
      <w:pPr>
        <w:pStyle w:val="ListNumber"/>
        <w:spacing w:before="20" w:after="20"/>
      </w:pPr>
      <w:r>
        <w:rPr>
          <w:sz w:val="20"/>
        </w:rPr>
        <w:t>Bestätigung oder Gegenvorschlag zu Zahlungsbedingungen</w:t>
      </w:r>
    </w:p>
    <w:p>
      <w:pPr>
        <w:pStyle w:val="ListNumber"/>
        <w:spacing w:before="20" w:after="20"/>
      </w:pPr>
      <w:r>
        <w:rPr>
          <w:sz w:val="20"/>
        </w:rPr>
        <w:t>DSGVO-Konformitätserklärung für Remote-Funktionen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60"/>
      </w:pPr>
      <w:r>
        <w:rPr>
          <w:b/>
          <w:color w:val="1E40AF"/>
          <w:sz w:val="26"/>
        </w:rPr>
        <w:t>6. Rückfragen</w:t>
      </w:r>
    </w:p>
    <w:p>
      <w:pPr>
        <w:spacing w:before="20" w:after="40"/>
      </w:pPr>
      <w:r>
        <w:rPr>
          <w:sz w:val="20"/>
        </w:rPr>
      </w:r>
      <w:r>
        <w:rPr>
          <w:b/>
          <w:sz w:val="20"/>
        </w:rPr>
        <w:t>Technische Rückfragen:</w:t>
      </w:r>
      <w:r>
        <w:rPr>
          <w:sz w:val="20"/>
        </w:rPr>
        <w:t xml:space="preserve"> Herr Marek Kowalczyk, Fabrikleiter Bratislava (m.kowalczyk@brenner-automotive.com)</w:t>
      </w:r>
    </w:p>
    <w:p>
      <w:pPr>
        <w:spacing w:before="20" w:after="40"/>
      </w:pPr>
      <w:r>
        <w:rPr>
          <w:sz w:val="20"/>
        </w:rPr>
      </w:r>
      <w:r>
        <w:rPr>
          <w:b/>
          <w:sz w:val="20"/>
        </w:rPr>
        <w:t>Kommerzielle Rückfragen:</w:t>
      </w:r>
      <w:r>
        <w:rPr>
          <w:sz w:val="20"/>
        </w:rPr>
        <w:t xml:space="preserve"> Frau Ingrid Hoffmann (i.hoffmann@brenner-automotive.de)</w:t>
      </w:r>
    </w:p>
    <w:p>
      <w:pPr>
        <w:spacing w:before="20" w:after="40"/>
      </w:pPr>
      <w:r>
        <w:rPr>
          <w:sz w:val="20"/>
        </w:rPr>
        <w:t xml:space="preserve">Rückfragen sind ausschließlich schriftlich zu stellen, bis </w:t>
      </w:r>
      <w:r>
        <w:rPr>
          <w:b/>
          <w:sz w:val="20"/>
        </w:rPr>
        <w:t>09. Mai 2025</w:t>
      </w:r>
      <w:r>
        <w:rPr>
          <w:sz w:val="20"/>
        </w:rPr>
        <w:t>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" w:after="40"/>
      </w:pPr>
      <w:r>
        <w:rPr>
          <w:sz w:val="20"/>
        </w:rPr>
        <w:t>*Brenner Automotive Systems AG behält sich vor, Angebote ohne Angabe von Gründen abzulehnen. Dieses RFQ stellt keine Bestellung und keine Verpflichtung zum Vertragsschluss dar.*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