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f56a4e2466ac461d" /></Relationships>
</file>

<file path=word/document.xml><?xml version="1.0" encoding="utf-8"?>
<w:document xmlns:w="http://schemas.openxmlformats.org/wordprocessingml/2006/main">
  <w:body>
    <w:p>
      <w:pPr>
        <w:spacing w:after="360"/>
        <w:jc w:val="center"/>
      </w:pPr>
      <w:r>
        <w:rPr>
          <w:b/>
          <w:sz w:val="32"/>
        </w:rPr>
        <w:t xml:space="preserve">Chimeric Antigen Receptor T-Cell Therapy for Solid Tumors: An Evidence Mapping and Meta-Analysis of Clinical Efficacy Across Target Antigens</w:t>
      </w:r>
    </w:p>
    <w:p>
      <w:pPr>
        <w:spacing w:after="120"/>
        <w:jc w:val="center"/>
      </w:pPr>
      <w:r>
        <w:t xml:space="preserve">Raphael Brandao Moreira, MD</w:t>
      </w:r>
      <w:r>
        <w:rPr>
          <w:vertAlign w:val="superscript"/>
        </w:rPr>
        <w:t>1</w:t>
      </w:r>
      <w:r>
        <w:t xml:space="preserve">, Indianara Valgas Brandao, MD, Erika Simplicio, MD, Nilo Jorge Leao, MD, PhD, Andre Miotto, MD</w:t>
      </w:r>
    </w:p>
    <w:p>
      <w:pPr>
        <w:spacing w:after="240" w:line="240" w:lineRule="auto"/>
        <w:jc w:val="center"/>
      </w:pPr>
      <w:r>
        <w:rPr>
          <w:sz w:val="20"/>
        </w:rPr>
        <w:t xml:space="preserve">1Division of Hematology/Oncology, Department of Medicine, UF Health Jacksonville, University of Florida, Jacksonville, FL, USA</w:t>
      </w:r>
    </w:p>
    <w:p>
      <w:pPr>
        <w:spacing w:after="120"/>
        <w:jc w:val="center"/>
      </w:pPr>
      <w:r>
        <w:rPr>
          <w:b/>
          <w:sz w:val="20"/>
        </w:rPr>
        <w:t>Corresponding Author: </w:t>
      </w:r>
      <w:r>
        <w:rPr>
          <w:sz w:val="20"/>
        </w:rPr>
        <w:t>Raphael Brandao Moreira, MD. raphael.moreira@jax.ufl.edu. 655 West 8th Street, Jacksonville, FL 32209, USA</w:t>
      </w:r>
    </w:p>
    <w:p>
      <w:pPr>
        <w:spacing w:after="120"/>
        <w:jc w:val="center"/>
      </w:pPr>
      <w:r>
        <w:rPr>
          <w:sz w:val="20"/>
        </w:rPr>
        <w:t xml:space="preserve">Word Count: Abstract 348 | Main Text ~2,100 | Total ~4,500</w:t>
      </w:r>
    </w:p>
    <w:p>
      <w:pPr>
        <w:spacing w:after="480"/>
        <w:jc w:val="center"/>
      </w:pPr>
      <w:r>
        <w:rPr>
          <w:sz w:val="20"/>
        </w:rPr>
        <w:t xml:space="preserve">Registration: PROSPERO 2026 CRD420261294180</w:t>
      </w:r>
    </w:p>
    <w:p>
      <w:r>
        <w:br w:type="page"/>
      </w:r>
    </w:p>
    <w:p>
      <w:pPr>
        <w:pStyle w:val="Heading1"/>
      </w:pPr>
      <w:r>
        <w:t xml:space="preserve">Abstract</w:t>
      </w:r>
    </w:p>
    <w:p>
      <w:r>
        <w:rPr>
          <w:b/>
        </w:rPr>
        <w:t xml:space="preserve">Background: </w:t>
      </w:r>
      <w:r>
        <w:t xml:space="preserve">CAR T-cell therapy has achieved remarkable success in hematological malignancies, but its application to solid tumors has been limited by distinct biological barriers. Numerous early-phase trials have evaluated CAR-T constructs targeting diverse antigens in solid tumors, yet no comprehensive quantitative synthesis has characterized efficacy patterns across targets and tumor types.</w:t>
      </w:r>
    </w:p>
    <w:p>
      <w:r>
        <w:rPr>
          <w:b/>
        </w:rPr>
        <w:t xml:space="preserve">Methods: </w:t>
      </w:r>
      <w:r>
        <w:t xml:space="preserve">We conducted a systematic review following PRISMA 2020 guidelines (PROSPERO 2026 CRD420261294180). PubMed, Embase, Cochrane CENTRAL, ClinicalTrials.gov, and WHO ICTRP were searched from inception through January 31, 2026. Eligible studies were peer-reviewed clinical trials reporting objective response rates (ORR) for CAR-T in solid tumors. We employed a random-effects model with logit transformation and REML estimation, with HKSJ adjustment for confidence intervals. We framed this as evidence mapping because all included studies were single-arm phase I/I-II trials.</w:t>
      </w:r>
    </w:p>
    <w:p>
      <w:r>
        <w:rPr>
          <w:b/>
        </w:rPr>
        <w:t xml:space="preserve">Results: </w:t>
      </w:r>
      <w:r>
        <w:t xml:space="preserve">From 2,847 screened records, 13 single-arm trials enrolling 201 patients met inclusion criteria. The pooled ORR was 19.8% (95% CI: 10.4-34.4%; I2=52.9%; 95% prediction interval: 3.3-64.1%). Sensitivity analysis yielded 14.4% (95% CI: 5.4-26.7%). CLDN18.2 in gastric cancer achieved 48.6% (k=1), while MSLN (0%; k=2) and HER2 (0%; k=1) showed no responses. One randomized trial (CT041-ST-01) was identified but excluded from pooled analysis due to its RCT design; it reported PFS HR 0.37 (95% CI: 0.24-0.56) for CLDN18.2-directed CAR-T versus treatment of physician's choice.</w:t>
      </w:r>
    </w:p>
    <w:p>
      <w:r>
        <w:rPr>
          <w:b/>
        </w:rPr>
        <w:t xml:space="preserve">Conclusions: </w:t>
      </w:r>
      <w:r>
        <w:t xml:space="preserve">CAR-T therapy demonstrates modest overall activity in solid tumors with marked target-dependent variation. These descriptive findings provide a benchmark for the field. Causal inferences are not supported by single-arm data. Randomized trials remain essential.</w:t>
      </w:r>
    </w:p>
    <w:p>
      <w:pPr>
        <w:spacing w:before="240"/>
      </w:pPr>
      <w:r>
        <w:rPr>
          <w:b/>
        </w:rPr>
        <w:t>Keywords: </w:t>
      </w:r>
      <w:r>
        <w:t xml:space="preserve">CAR-T cell therapy, solid tumors, immunotherapy, evidence mapping, meta-analysis, CLDN18.2</w:t>
      </w:r>
    </w:p>
    <w:p>
      <w:r>
        <w:br w:type="page"/>
      </w:r>
    </w:p>
    <w:p>
      <w:pPr>
        <w:pStyle w:val="Heading1"/>
      </w:pPr>
      <w:r>
        <w:t xml:space="preserve">Introduction</w:t>
      </w:r>
    </w:p>
    <w:p>
      <w:r>
        <w:t xml:space="preserve">CAR T-cell therapy has transformed the treatment of B-cell malignancies. Six products have received regulatory approval since 2017, collectively demonstrating complete response rates exceeding 50% in previously incurable diseases.(1-6) These achievements have established CAR-T as one of the most significant therapeutic advances in modern oncology and have generated considerable interest in extending this approach to solid tumors.</w:t>
      </w:r>
    </w:p>
    <w:p>
      <w:r>
        <w:t xml:space="preserve">The translation to solid tumors, however, has encountered substantial obstacles. Unlike hematological cancers, solid tumors present multiple biological barriers: dense extracellular matrix and elevated interstitial pressure limit T-cell infiltration,(10-12) and regulatory T cells, myeloid-derived suppressor cells, and inhibitory cytokines suppress effector function within the tumor microenvironment.(13-16) Antigen expression is frequently heterogeneous, enabling tumor escape,(18,19) and many tumor-associated antigens are also expressed on normal tissues, creating a narrow therapeutic window.(20,21)</w:t>
      </w:r>
    </w:p>
    <w:p>
      <w:r>
        <w:t xml:space="preserve">Over the past decade, numerous phase I and I/II trials have evaluated CAR-T constructs targeting diverse antigens.(25-35) More recently, armored CAR constructs engineered to secrete cytokines or express dominant-negative receptors have been developed to counteract tumor microenvironment-mediated suppression.(36-40)</w:t>
      </w:r>
    </w:p>
    <w:p>
      <w:r>
        <w:t xml:space="preserve">Narrative reviews have summarized this literature,(41-44) but no prior meta-analysis has quantified efficacy across the full spectrum of solid tumor CAR-T trials. We therefore conducted this evidence mapping and meta-analysis with three objectives: to estimate the pooled ORR for CAR-T in solid tumors, to describe efficacy patterns across targets and tumor types, and to explore associations between engineering strategies and clinical outcomes.</w:t>
      </w:r>
    </w:p>
    <w:p>
      <w:pPr>
        <w:pStyle w:val="Heading1"/>
      </w:pPr>
      <w:r>
        <w:t xml:space="preserve">Methods</w:t>
      </w:r>
    </w:p>
    <w:p>
      <w:pPr>
        <w:pStyle w:val="Heading2"/>
      </w:pPr>
      <w:r>
        <w:t xml:space="preserve">Protocol and Registration</w:t>
      </w:r>
    </w:p>
    <w:p>
      <w:r>
        <w:t xml:space="preserve">This systematic review was conducted according to PRISMA 2020 guidelines (registration: PROSPERO 2026 CRD420261294180).(45) The search end date was January 31, 2026. We framed this work as evidence mapping with integrated meta-analysis because all eligible studies were single-arm trials without comparator groups.</w:t>
      </w:r>
    </w:p>
    <w:p>
      <w:pPr>
        <w:pStyle w:val="Heading2"/>
      </w:pPr>
      <w:r>
        <w:t xml:space="preserve">Eligibility Criteria</w:t>
      </w:r>
    </w:p>
    <w:p>
      <w:r>
        <w:t xml:space="preserve">We included peer-reviewed clinical trials evaluating autologous or allogeneic CAR-T therapy in solid tumors that reported ORR according to RECIST or disease-specific criteria. Exclusion criteria: CAR-NK studies (unless combined with CAR-T); preclinical or in vitro studies; case reports with fewer than three evaluable patients; studies reporting only toxicity; and conference abstracts without subsequent peer-reviewed publication.</w:t>
      </w:r>
    </w:p>
    <w:p>
      <w:pPr>
        <w:pStyle w:val="Heading2"/>
      </w:pPr>
      <w:r>
        <w:t xml:space="preserve">Search Strategy and Study Selection</w:t>
      </w:r>
    </w:p>
    <w:p>
      <w:r>
        <w:t xml:space="preserve">We searched PubMed, Embase, Cochrane CENTRAL, ClinicalTrials.gov, and WHO ICTRP from inception through January 31, 2026. The search combined MeSH terms and free-text keywords for CAR-T and solid tumors (Supplementary Table S1). Reference lists of included studies and relevant reviews were manually screened.</w:t>
      </w:r>
    </w:p>
    <w:p>
      <w:r>
        <w:t xml:space="preserve">Two reviewers (R.B.M. and I.V.B.) independently screened titles, abstracts, and full texts. Disagreements were resolved through discussion with E.S.</w:t>
      </w:r>
    </w:p>
    <w:p>
      <w:pPr>
        <w:pStyle w:val="Heading2"/>
      </w:pPr>
      <w:r>
        <w:t xml:space="preserve">Data Extraction and Risk of Bias</w:t>
      </w:r>
    </w:p>
    <w:p>
      <w:r>
        <w:t xml:space="preserve">Data were extracted by R.B.M. and verified by I.V.B. using a standardized form. Risk of bias was assessed using the JBI critical appraisal checklist for case series.(46)</w:t>
      </w:r>
    </w:p>
    <w:p>
      <w:pPr>
        <w:pStyle w:val="Heading2"/>
      </w:pPr>
      <w:r>
        <w:t xml:space="preserve">Statistical Analysis</w:t>
      </w:r>
    </w:p>
    <w:p>
      <w:r>
        <w:t xml:space="preserve">Meta-analysis of proportions employed a random-effects model. The primary analysis used logit transformation with REML estimation of tau-squared and HKSJ adjustment for confidence intervals.(47-49) Sensitivity analysis applied Freeman-Tukey double arcsine transformation with DerSimonian-Laird estimation.(50,51) For subgroups with k=1, exact binomial (Clopper-Pearson) confidence intervals were reported.(52) Heterogeneity was quantified using I-squared and Cochran's Q;(53) we report the 95% prediction interval.(54) Publication bias was assessed via funnel plots and Egger's test.(55) Certainty of evidence was graded using GRADE.(56) Analyses were performed in Python 3.11 and cross-validated against the metafor package in R 4.3.(57) Statistical oversight was provided by A.M.</w:t>
      </w:r>
    </w:p>
    <w:p>
      <w:pPr>
        <w:pStyle w:val="Heading1"/>
      </w:pPr>
      <w:r>
        <w:t xml:space="preserve">Results</w:t>
      </w:r>
    </w:p>
    <w:p>
      <w:pPr>
        <w:pStyle w:val="Heading2"/>
      </w:pPr>
      <w:r>
        <w:t xml:space="preserve">Study Selection</w:t>
      </w:r>
    </w:p>
    <w:p>
      <w:r>
        <w:t xml:space="preserve">The search identified 3,124 records. After removing 277 duplicates, 2,847 titles and abstracts were screened. One hundred fifty-six full-text articles were assessed, of which 143 were excluded: 45 were not CAR-T studies, 38 lacked efficacy outcomes, 32 were reviews or editorials, and 28 had fewer than three patients. Thirteen single-arm trials enrolling 201 patients with 42 objective responses were included. One randomized controlled trial (CT041-ST-01) was identified during screening but was excluded from the pooled meta-analysis because its RCT design differed fundamentally from the single-arm studies; its results are reported separately as contextual validation.</w:t>
      </w:r>
    </w:p>
    <w:p>
      <w:pPr>
        <w:pStyle w:val="Heading2"/>
      </w:pPr>
      <w:r>
        <w:t xml:space="preserve">Study Characteristics and Risk of Bias</w:t>
      </w:r>
    </w:p>
    <w:p>
      <w:r>
        <w:t xml:space="preserve">All 13 included studies were single-arm phase I or I/II trials published between 2015 and 2025 (7 from the United States, 6 from China). Median sample size was 15 (range 4-37). Second-generation CAR constructs predominated (85%), using CD28 (54%) or 4-1BB (31%) costimulatory domains. Ten distinct target antigens were evaluated. Four studies (31%) tested armored constructs.(58-61) JBI assessment indicated moderate risk of bias across studies, primarily due to the absence of comparator arms (Supplementary Table S2).</w:t>
      </w:r>
    </w:p>
    <w:p>
      <w:pPr>
        <w:pStyle w:val="Heading2"/>
      </w:pPr>
      <w:r>
        <w:t xml:space="preserve">Pooled Objective Response Rate</w:t>
      </w:r>
    </w:p>
    <w:p>
      <w:r>
        <w:t xml:space="preserve">The pooled ORR was 19.8% (95% CI: 10.4-34.4%; I2=52.9%; tau2=0.71) (Figure 2). The 95% prediction interval ranged from 3.3% to 64.1%. Sensitivity analysis using Freeman-Tukey transformation yielded ORR 14.4% (95% CI: 5.4-26.7%; I2=79.2%). The discrepancy between primary and sensitivity estimates (5.4 percentage points) should be noted.</w:t>
      </w:r>
    </w:p>
    <w:p>
      <w:pPr>
        <w:pStyle w:val="Heading2"/>
      </w:pPr>
      <w:r>
        <w:t xml:space="preserve">Target-Specific Response Rates</w:t>
      </w:r>
    </w:p>
    <w:p>
      <w:r>
        <w:t xml:space="preserve">Because each target was evaluated in a different tumor type and patient population, target-specific ORRs represent single-study observations rather than ranked efficacy estimates. CLDN18.2 in gastric cancer showed the highest ORR at 48.6% (95% CI: 31.9-65.6%; Qi et al., n=37).(62) GCC+CD19 dual-targeting in colorectal cancer achieved 40.0% (95% CI: 16.3-67.7%; Chen et al., n=15).(59) PSMA-directed therapy in prostate cancer yielded a pooled 28.3% (95% CI: 8.5-57.8%; k=2, n=18).(31,60) GPC3 in hepatocellular carcinoma achieved 27.3% (95% CI: 14.4-43.4%; k=2, n=43).(58,32)</w:t>
      </w:r>
    </w:p>
    <w:p>
      <w:r>
        <w:t xml:space="preserve">No objective responses were observed for MSLN (0/30 across 2 studies; 95% CI: 0-11.6%), HER2 (0/19; 95% CI: 0-17.6%), CEA (0/10; 95% CI: 0-30.8%), or TAG-72 (0/16; 95% CI: 0-20.6%).</w:t>
      </w:r>
    </w:p>
    <w:p>
      <w:pPr>
        <w:pStyle w:val="Heading2"/>
      </w:pPr>
      <w:r>
        <w:t xml:space="preserve">Armored Versus Non-Armored Constructs</w:t>
      </w:r>
    </w:p>
    <w:p>
      <w:r>
        <w:t xml:space="preserve">Armored constructs (k=4, n=73) showed ORR 26.0% (95% CI: 11.1-48.8%) versus 18.0% (95% CI: 6.4-41.3%) for non-armored constructs (k=9, n=128). Confidence intervals overlap substantially. This comparison is confounded by differential target selection: the armored group included GPC3 and GCC+CD19, while the non-armored group included MSLN and HER2. No causal inference about the independent effect of armoring is possible.</w:t>
      </w:r>
    </w:p>
    <w:p>
      <w:pPr>
        <w:pStyle w:val="Heading2"/>
      </w:pPr>
      <w:r>
        <w:t xml:space="preserve">CT041-ST-01 Randomized Trial</w:t>
      </w:r>
    </w:p>
    <w:p>
      <w:r>
        <w:t xml:space="preserve">CT041-ST-01 (NCT04581473) was a phase 2 randomized open-label trial comparing satricabtagene autoleucel (satri-cel) versus treatment of physician's choice in 156 patients with previously treated CLDN18.2-positive gastric or gastroesophageal junction cancer.(63) Satri-cel demonstrated median PFS of 3.25 months versus 1.77 months (HR 0.37, 95% CI: 0.24-0.56; p&lt;0.0001) and median OS of 7.92 versus 5.49 months (HR 0.69, 95% CI: 0.46-1.05). CRS occurred in 95% of satri-cel recipients (4 grade 3 events; no grade 4-5; no ICANS). This trial was excluded from our pooled meta-analysis because its RCT design differed from the 13 single-arm studies, but its results validate the CLDN18.2 single-arm data.</w:t>
      </w:r>
    </w:p>
    <w:p>
      <w:pPr>
        <w:pStyle w:val="Heading2"/>
      </w:pPr>
      <w:r>
        <w:t xml:space="preserve">Safety</w:t>
      </w:r>
    </w:p>
    <w:p>
      <w:r>
        <w:t xml:space="preserve">CRS occurred in 77.7% of patients (95% CI: 53.5-95.8%); most events were grade 1-2. Grade 3+ CRS occurred in 10-15%. ICANS was infrequent (&lt;10%).</w:t>
      </w:r>
    </w:p>
    <w:p>
      <w:pPr>
        <w:pStyle w:val="Heading2"/>
      </w:pPr>
      <w:r>
        <w:t xml:space="preserve">Publication Bias and Certainty of Evidence</w:t>
      </w:r>
    </w:p>
    <w:p>
      <w:r>
        <w:t xml:space="preserve">Egger's test was significant (p=0.015), though interpretation is limited by the small study count. GRADE rated overall certainty as very low, downgraded for risk of bias (single-arm designs), inconsistency (I2&gt;50%), imprecision (wide CIs), and suspected publication bias.</w:t>
      </w:r>
    </w:p>
    <w:p>
      <w:pPr>
        <w:pStyle w:val="Heading1"/>
      </w:pPr>
      <w:r>
        <w:t xml:space="preserve">Discussion</w:t>
      </w:r>
    </w:p>
    <w:p>
      <w:r>
        <w:t xml:space="preserve">All 13 included studies were single-arm trials without comparator arms. This design cannot separate treatment effects from selection bias, regression to the mean, or natural disease history. The 20% pooled ORR represents an observed response rate in selected patient populations, not an estimate of causal treatment efficacy. Furthermore, each target was evaluated in a different tumor type, precluding formal comparison. The target-specific ORRs in Table 2 are descriptive observations only.</w:t>
      </w:r>
    </w:p>
    <w:p>
      <w:r>
        <w:t xml:space="preserve">That said, three findings merit attention. First, the approximately 20% pooled ORR provides a quantitative benchmark that did not previously exist. Prior reviews described solid tumor CAR-T as promising but challenging without numerical backing.(41-44) Whether 20% is encouraging depends on comparators; checkpoint inhibitors achieve 15-25% in unselected solid tumors,(67) and bispecific antibodies post 10-30% depending on target and histology.(68)</w:t>
      </w:r>
    </w:p>
    <w:p>
      <w:r>
        <w:t xml:space="preserve">Second, the CLDN18.2 finding is notable because it has been independently validated. CT041-ST-01, a phase 2 randomized trial, demonstrated median PFS of 3.25 versus 1.77 months (HR 0.37, 95% CI: 0.24-0.56; p&lt;0.0001) and median OS of 7.92 versus 5.49 months (HR 0.69, 95% CI: 0.46-1.05) for satri-cel versus treatment of physician's choice in CLDN18.2-positive gastric cancer.(63) This convergence of single-arm and randomized data supports continued CLDN18.2 development. Whether CLDN18.2 would work in other tumor types is unknown.</w:t>
      </w:r>
    </w:p>
    <w:p>
      <w:r>
        <w:t xml:space="preserve">Third, the absence of responses for MSLN (0/30) and HER2 (0/19) deserves note. These targets have absorbed substantial research investment over more than a decade without producing objective responses in published peer-reviewed trials. This does not establish futility, but it should inform resource allocation decisions.</w:t>
      </w:r>
    </w:p>
    <w:p>
      <w:r>
        <w:t xml:space="preserve">The armored versus non-armored comparison (26.0% vs. 18.0%) cannot support causal claims. The highest-responding study (CLDN18.2, 48.6%) used a non-armored construct. Head-to-head trials in matched target-tumor settings would be needed to assess whether engineering modifications confer independent benefit.</w:t>
      </w:r>
    </w:p>
    <w:p>
      <w:r>
        <w:t xml:space="preserve">Several priorities for future research emerge. CLDN18.2 and GPC3 warrant continued development with randomized survival endpoints. For targets with consistently negative results (MSLN, HER2), stronger preclinical evidence should be required before additional patients are enrolled. Biomarker development could improve trial efficiency. The field also needs ongoing trials in earlier treatment lines, as CT041-ST-01 demonstrated activity in the third-line setting.</w:t>
      </w:r>
    </w:p>
    <w:p>
      <w:pPr>
        <w:pStyle w:val="Heading1"/>
      </w:pPr>
      <w:r>
        <w:t xml:space="preserve">Conclusions</w:t>
      </w:r>
    </w:p>
    <w:p>
      <w:r>
        <w:t xml:space="preserve">This evidence mapping quantifies pooled CAR-T efficacy across solid tumors at approximately 20%, with marked variation by target. CLDN18.2 in gastric cancer shows the strongest signal, validated by CT041-ST-01. Causal interpretations are not warranted from single-arm evidence. Controlled trials and rigorous target validation remain priorities.</w:t>
      </w:r>
    </w:p>
    <w:p>
      <w:pPr>
        <w:pStyle w:val="Heading1"/>
      </w:pPr>
      <w:r>
        <w:t xml:space="preserve">Limitations</w:t>
      </w:r>
    </w:p>
    <w:p>
      <w:r>
        <w:t xml:space="preserve">All included studies were single-arm phase I/I-II trials without comparators. Response rates from such designs typically overestimate true treatment effects. The 37% relative difference between our primary estimate (19.8%) and sensitivity estimate (14.4%) suggests the true pooled effect may be lower than our primary result.</w:t>
      </w:r>
    </w:p>
    <w:p>
      <w:r>
        <w:t xml:space="preserve">The prediction interval (3.3-64.1%) reflects substantial uncertainty. Seven of ten target subgroups are based on single studies (k=1). The narrative about target-dependent variation rests largely on isolated trials that cannot be meaningfully compared. Our restriction to peer-reviewed publications may have excluded recent conference data. Egger's test is underpowered with k=13. All trials were conducted in the US or China, limiting generalizability.</w:t>
      </w:r>
    </w:p>
    <w:p>
      <w:pPr>
        <w:pStyle w:val="Heading1"/>
      </w:pPr>
      <w:r>
        <w:t xml:space="preserve">Cost Considerations</w:t>
      </w:r>
    </w:p>
    <w:p>
      <w:r>
        <w:t xml:space="preserve">CAR-T therapy carries substantial costs. Approved products for hematological malignancies are priced at approximately USD 350,000-475,000 per course, with total costs often exceeding USD 500,000 when hospitalization and toxicity management are included.(69,70) At a 20% ORR across all solid tumor targets, the cost per responder would exceed USD 2.5 million at current pricing. These cost data derive from hematological malignancy experience; economic data specific to solid tumor CAR-T are not yet available.(70) The CT041-ST-01 trial showed that for responsive subgroups, CAR-T may deliver value comparable to other advanced immunotherapies,(63) but formal cost-effectiveness analysis incorporating quality-of-life data is needed.</w:t>
      </w:r>
    </w:p>
    <w:p>
      <w:r>
        <w:br w:type="page"/>
      </w:r>
    </w:p>
    <w:p>
      <w:pPr>
        <w:pStyle w:val="Heading1"/>
      </w:pPr>
      <w:r>
        <w:t xml:space="preserve">Declarations</w:t>
      </w:r>
    </w:p>
    <w:p>
      <w:r>
        <w:rPr>
          <w:b/>
        </w:rPr>
        <w:t xml:space="preserve">Funding </w:t>
      </w:r>
      <w:r>
        <w:t xml:space="preserve">No funding was received.</w:t>
      </w:r>
    </w:p>
    <w:p>
      <w:r>
        <w:rPr>
          <w:b/>
        </w:rPr>
        <w:t xml:space="preserve">Conflicts of Interest </w:t>
      </w:r>
      <w:r>
        <w:t xml:space="preserve">None declared.</w:t>
      </w:r>
    </w:p>
    <w:p>
      <w:r>
        <w:rPr>
          <w:b/>
        </w:rPr>
        <w:t xml:space="preserve">Ethics Approval </w:t>
      </w:r>
      <w:r>
        <w:t xml:space="preserve">Not applicable (systematic review of published data).</w:t>
      </w:r>
    </w:p>
    <w:p>
      <w:r>
        <w:rPr>
          <w:b/>
        </w:rPr>
        <w:t xml:space="preserve">Data Availability </w:t>
      </w:r>
      <w:r>
        <w:t xml:space="preserve">Analysis code and extracted data are available at https://github.com/rm147747/CART_solid_tumors_meta</w:t>
      </w:r>
    </w:p>
    <w:p>
      <w:r>
        <w:rPr>
          <w:b/>
        </w:rPr>
        <w:t xml:space="preserve">Author Contributions </w:t>
      </w:r>
      <w:r>
        <w:t xml:space="preserve">R.B.M.: conception, protocol design, search, data extraction, statistical analysis, drafting. I.V.B.: screening, data extraction, critical review. E.S.: data verification, methodology review, critical revision. N.J.L.: pathology review, critical revision. A.M.: statistical oversight, analysis validation. All authors approved the final version.</w:t>
      </w:r>
    </w:p>
    <w:p>
      <w:r>
        <w:br w:type="page"/>
      </w:r>
    </w:p>
    <w:p>
      <w:pPr>
        <w:pStyle w:val="Heading1"/>
      </w:pPr>
      <w:r>
        <w:t xml:space="preserve">References</w:t>
      </w:r>
    </w:p>
    <w:p>
      <w:pPr>
        <w:spacing w:after="60" w:line="240" w:lineRule="auto"/>
        <w:ind w:left="480" w:hanging="480"/>
      </w:pPr>
      <w:r>
        <w:t xml:space="preserve">1. Maude SL, Laetsch TW, Buechner J, et al. Tisagenlecleucel in children and young adults with B-cell lymphoblastic leukemia. N Engl J Med. 2018;378(5):439-448.</w:t>
      </w:r>
    </w:p>
    <w:p>
      <w:pPr>
        <w:spacing w:after="60" w:line="240" w:lineRule="auto"/>
        <w:ind w:left="480" w:hanging="480"/>
      </w:pPr>
      <w:r>
        <w:t xml:space="preserve">2. Neelapu SS, Locke FL, Bartlett NL, et al. Axicabtagene ciloleucel CAR T-cell therapy in refractory large B-cell lymphoma. N Engl J Med. 2017;377(26):2531-2544.</w:t>
      </w:r>
    </w:p>
    <w:p>
      <w:pPr>
        <w:spacing w:after="60" w:line="240" w:lineRule="auto"/>
        <w:ind w:left="480" w:hanging="480"/>
      </w:pPr>
      <w:r>
        <w:t xml:space="preserve">3. Schuster SJ, Bishop MR, Tam CS, et al. Tisagenlecleucel in adult relapsed or refractory diffuse large B-cell lymphoma. N Engl J Med. 2019;380(1):45-56.</w:t>
      </w:r>
    </w:p>
    <w:p>
      <w:pPr>
        <w:spacing w:after="60" w:line="240" w:lineRule="auto"/>
        <w:ind w:left="480" w:hanging="480"/>
      </w:pPr>
      <w:r>
        <w:t xml:space="preserve">4. Abramson JS, Palomba ML, Gordon LI, et al. Lisocabtagene maraleucel for patients with relapsed or refractory large B-cell lymphomas (TRANSCEND NHL 001): a multicentre seamless design study. Lancet. 2020;396(10254):839-852.</w:t>
      </w:r>
    </w:p>
    <w:p>
      <w:pPr>
        <w:spacing w:after="60" w:line="240" w:lineRule="auto"/>
        <w:ind w:left="480" w:hanging="480"/>
      </w:pPr>
      <w:r>
        <w:t xml:space="preserve">5. Munshi NC, Anderson LD Jr, Shah N, et al. Idecabtagene vicleucel in relapsed and refractory multiple myeloma. N Engl J Med. 2021;384(8):705-716.</w:t>
      </w:r>
    </w:p>
    <w:p>
      <w:pPr>
        <w:spacing w:after="60" w:line="240" w:lineRule="auto"/>
        <w:ind w:left="480" w:hanging="480"/>
      </w:pPr>
      <w:r>
        <w:t xml:space="preserve">6. Berdeja JG, Madduri D, Usmani SZ, et al. Ciltacabtagene autoleucel in relapsed or refractory multiple myeloma (CARTITUDE-1): a phase 1b/2 open-label study. Lancet. 2021;398(10297):314-324.</w:t>
      </w:r>
    </w:p>
    <w:p>
      <w:pPr>
        <w:spacing w:after="60" w:line="240" w:lineRule="auto"/>
        <w:ind w:left="480" w:hanging="480"/>
      </w:pPr>
      <w:r>
        <w:t xml:space="preserve">7. June CH, O'Connor RS, Kawalekar OU, Ghassemi S, Milone MC. CAR T cell immunotherapy for human cancer. Science. 2018;359(6382):1361-1365.</w:t>
      </w:r>
    </w:p>
    <w:p>
      <w:pPr>
        <w:spacing w:after="60" w:line="240" w:lineRule="auto"/>
        <w:ind w:left="480" w:hanging="480"/>
      </w:pPr>
      <w:r>
        <w:t xml:space="preserve">8. Sterner RC, Sterner RM. CAR-T cell therapy: current limitations and potential strategies. Blood Cancer J. 2021;11(4):69.</w:t>
      </w:r>
    </w:p>
    <w:p>
      <w:pPr>
        <w:spacing w:after="60" w:line="240" w:lineRule="auto"/>
        <w:ind w:left="480" w:hanging="480"/>
      </w:pPr>
      <w:r>
        <w:t xml:space="preserve">9. Rafiq S, Hackett CS, Brentjens RJ. Engineering strategies to overcome the current roadblocks in CAR T cell therapy. Nat Rev Clin Oncol. 2020;17(3):147-167.</w:t>
      </w:r>
    </w:p>
    <w:p>
      <w:pPr>
        <w:spacing w:after="60" w:line="240" w:lineRule="auto"/>
        <w:ind w:left="480" w:hanging="480"/>
      </w:pPr>
      <w:r>
        <w:t xml:space="preserve">10. Salmon H, Franciszkiewicz K, Damotte D, et al. Matrix architecture defines the preferential localization and migration of T cells into the stroma of human lung tumors. J Clin Invest. 2012;122(3):899-910.</w:t>
      </w:r>
    </w:p>
    <w:p>
      <w:pPr>
        <w:spacing w:after="60" w:line="240" w:lineRule="auto"/>
        <w:ind w:left="480" w:hanging="480"/>
      </w:pPr>
      <w:r>
        <w:t xml:space="preserve">11. Lanitis E, Irving M, Coukos G. Targeting the tumor vasculature to enhance T cell activity. Curr Opin Immunol. 2015;33:55-63.</w:t>
      </w:r>
    </w:p>
    <w:p>
      <w:pPr>
        <w:spacing w:after="60" w:line="240" w:lineRule="auto"/>
        <w:ind w:left="480" w:hanging="480"/>
      </w:pPr>
      <w:r>
        <w:t xml:space="preserve">12. Caruana I, Savoldo B, Hoyos V, et al. Heparanase promotes tumor infiltration and antitumor activity of CAR-redirected T lymphocytes. Nat Med. 2015;21(5):524-529.</w:t>
      </w:r>
    </w:p>
    <w:p>
      <w:pPr>
        <w:spacing w:after="60" w:line="240" w:lineRule="auto"/>
        <w:ind w:left="480" w:hanging="480"/>
      </w:pPr>
      <w:r>
        <w:t xml:space="preserve">13. Joyce JA, Fearon DT. T cell exclusion, immune privilege, and the tumor microenvironment. Science. 2015;348(6230):74-80.</w:t>
      </w:r>
    </w:p>
    <w:p>
      <w:pPr>
        <w:spacing w:after="60" w:line="240" w:lineRule="auto"/>
        <w:ind w:left="480" w:hanging="480"/>
      </w:pPr>
      <w:r>
        <w:t xml:space="preserve">14. Binnewies M, Roberts EW, Kersten K, et al. Understanding the tumor immune microenvironment (TIME) for effective therapy. Nat Med. 2018;24(5):541-550.</w:t>
      </w:r>
    </w:p>
    <w:p>
      <w:pPr>
        <w:spacing w:after="60" w:line="240" w:lineRule="auto"/>
        <w:ind w:left="480" w:hanging="480"/>
      </w:pPr>
      <w:r>
        <w:t xml:space="preserve">15. Mariathasan S, Turley SJ, Nickles D, et al. TGFbeta attenuates tumour response to PD-L1 blockade by contributing to exclusion of T cells. Nature. 2018;554(7693):544-548.</w:t>
      </w:r>
    </w:p>
    <w:p>
      <w:pPr>
        <w:spacing w:after="60" w:line="240" w:lineRule="auto"/>
        <w:ind w:left="480" w:hanging="480"/>
      </w:pPr>
      <w:r>
        <w:t xml:space="preserve">16. Vijayan D, Young A, Teng MWL, Smyth MJ. Targeting immunosuppressive adenosine in cancer. Nat Rev Cancer. 2017;17(12):709-724.</w:t>
      </w:r>
    </w:p>
    <w:p>
      <w:pPr>
        <w:spacing w:after="60" w:line="240" w:lineRule="auto"/>
        <w:ind w:left="480" w:hanging="480"/>
      </w:pPr>
      <w:r>
        <w:t xml:space="preserve">17. Srivastava S, Riddell SR. Engineering CAR-T cells: design concepts. Trends Immunol. 2015;36(8):494-502.</w:t>
      </w:r>
    </w:p>
    <w:p>
      <w:pPr>
        <w:spacing w:after="60" w:line="240" w:lineRule="auto"/>
        <w:ind w:left="480" w:hanging="480"/>
      </w:pPr>
      <w:r>
        <w:t xml:space="preserve">18. O'Rourke DM, Nasrallah MP, Desai A, et al. A single dose of peripherally infused EGFRvIII-directed CAR T cells mediates antigen loss and induces adaptive resistance in patients with recurrent glioblastoma. Sci Transl Med. 2017;9(399):eaaa0984.</w:t>
      </w:r>
    </w:p>
    <w:p>
      <w:pPr>
        <w:spacing w:after="60" w:line="240" w:lineRule="auto"/>
        <w:ind w:left="480" w:hanging="480"/>
      </w:pPr>
      <w:r>
        <w:t xml:space="preserve">19. Majzner RG, Mackall CL. Tumor antigen escape from CAR T-cell therapy. Cancer Discov. 2018;8(10):1219-1226.</w:t>
      </w:r>
    </w:p>
    <w:p>
      <w:pPr>
        <w:spacing w:after="60" w:line="240" w:lineRule="auto"/>
        <w:ind w:left="480" w:hanging="480"/>
      </w:pPr>
      <w:r>
        <w:t xml:space="preserve">20. Morgan RA, Yang JC, Kitano M, Dudley ME, Laurencot CM, Rosenberg SA. Case report of a serious adverse event following the administration of T cells transduced with a chimeric antigen receptor recognizing ERBB2. Mol Ther. 2010;18(4):843-851.</w:t>
      </w:r>
    </w:p>
    <w:p>
      <w:pPr>
        <w:spacing w:after="60" w:line="240" w:lineRule="auto"/>
        <w:ind w:left="480" w:hanging="480"/>
      </w:pPr>
      <w:r>
        <w:t xml:space="preserve">21. Lamers CH, Sleijfer S, van Steenbergen S, et al. Treatment of metastatic renal cell carcinoma with CAIX CAR-engineered T cells: clinical evaluation and management of on-target toxicity. Mol Ther. 2013;21(4):904-912.</w:t>
      </w:r>
    </w:p>
    <w:p>
      <w:pPr>
        <w:spacing w:after="60" w:line="240" w:lineRule="auto"/>
        <w:ind w:left="480" w:hanging="480"/>
      </w:pPr>
      <w:r>
        <w:t xml:space="preserve">22. Wherry EJ, Kurachi M. Molecular and cellular insights into T cell exhaustion. Nat Rev Immunol. 2015;15(8):486-499.</w:t>
      </w:r>
    </w:p>
    <w:p>
      <w:pPr>
        <w:spacing w:after="60" w:line="240" w:lineRule="auto"/>
        <w:ind w:left="480" w:hanging="480"/>
      </w:pPr>
      <w:r>
        <w:t xml:space="preserve">23. Long AH, Haso WM, Shern JF, et al. 4-1BB costimulation ameliorates T cell exhaustion induced by tonic signaling of chimeric antigen receptors. Nat Med. 2015;21(6):581-590.</w:t>
      </w:r>
    </w:p>
    <w:p>
      <w:pPr>
        <w:spacing w:after="60" w:line="240" w:lineRule="auto"/>
        <w:ind w:left="480" w:hanging="480"/>
      </w:pPr>
      <w:r>
        <w:t xml:space="preserve">24. Fraietta JA, Lacey SF, Orlando EJ, et al. Determinants of response and resistance to CD19 chimeric antigen receptor (CAR) T cell therapy of chronic lymphocytic leukemia. Nat Med. 2018;24(5):563-571.</w:t>
      </w:r>
    </w:p>
    <w:p>
      <w:pPr>
        <w:spacing w:after="60" w:line="240" w:lineRule="auto"/>
        <w:ind w:left="480" w:hanging="480"/>
      </w:pPr>
      <w:r>
        <w:t xml:space="preserve">25. Beatty GL, Haas AR, Maus MV, et al. Mesothelin-specific chimeric antigen receptor mRNA-engineered T cells induce anti-tumor activity in solid malignancies. Cancer Immunol Res. 2014;2(2):112-120.</w:t>
      </w:r>
    </w:p>
    <w:p>
      <w:pPr>
        <w:spacing w:after="60" w:line="240" w:lineRule="auto"/>
        <w:ind w:left="480" w:hanging="480"/>
      </w:pPr>
      <w:r>
        <w:t xml:space="preserve">26. Adusumilli PS, Zauderer MG, Riviere I, et al. A phase I trial of regional mesothelin-targeted CAR T-cell therapy in patients with malignant pleural disease, in combination with the anti-PD-1 agent pembrolizumab. Cancer Discov. 2021;11(11):2748-2763.</w:t>
      </w:r>
    </w:p>
    <w:p>
      <w:pPr>
        <w:spacing w:after="60" w:line="240" w:lineRule="auto"/>
        <w:ind w:left="480" w:hanging="480"/>
      </w:pPr>
      <w:r>
        <w:t xml:space="preserve">27. Hassan R, Thomas A, Alewine C, Le DT, Jaffee EM, Pastan I. Mesothelin immunotherapy for cancer: ready for prime time? J Clin Oncol. 2016;34(34):4171-4179.</w:t>
      </w:r>
    </w:p>
    <w:p>
      <w:pPr>
        <w:spacing w:after="60" w:line="240" w:lineRule="auto"/>
        <w:ind w:left="480" w:hanging="480"/>
      </w:pPr>
      <w:r>
        <w:t xml:space="preserve">28. Beatty GL, O'Hara MH, Lacey SF, et al. Activity of mesothelin-specific chimeric antigen receptor T cells against pancreatic carcinoma metastases in a phase 1 trial. Gastroenterology. 2018;155(1):29-32.</w:t>
      </w:r>
    </w:p>
    <w:p>
      <w:pPr>
        <w:spacing w:after="60" w:line="240" w:lineRule="auto"/>
        <w:ind w:left="480" w:hanging="480"/>
      </w:pPr>
      <w:r>
        <w:t xml:space="preserve">29. Ahmed N, Brawley VS, Hegde M, et al. Human epidermal growth factor receptor 2 (HER2)-specific chimeric antigen receptor-modified T cells for the immunotherapy of HER2-positive sarcoma. J Clin Oncol. 2015;33(15):1688-1696.</w:t>
      </w:r>
    </w:p>
    <w:p>
      <w:pPr>
        <w:spacing w:after="60" w:line="240" w:lineRule="auto"/>
        <w:ind w:left="480" w:hanging="480"/>
      </w:pPr>
      <w:r>
        <w:t xml:space="preserve">30. Hegde M, Joseph SK, Engelman RW, et al. Tumor response and endogenous immune reactivity after administration of HER2 CAR T cells in a child with metastatic rhabdomyosarcoma. Nat Commun. 2020;11(1):3549.</w:t>
      </w:r>
    </w:p>
    <w:p>
      <w:pPr>
        <w:spacing w:after="60" w:line="240" w:lineRule="auto"/>
        <w:ind w:left="480" w:hanging="480"/>
      </w:pPr>
      <w:r>
        <w:t xml:space="preserve">31. Junghans RP, Ma Q, Rathore R, et al. Phase I trial of anti-PSMA designer CAR-T cells in prostate cancer: possible role for interacting interleukin 2-T cell pharmacodynamics as a determinant of clinical response. Prostate. 2016;76(14):1257-1270.</w:t>
      </w:r>
    </w:p>
    <w:p>
      <w:pPr>
        <w:spacing w:after="60" w:line="240" w:lineRule="auto"/>
        <w:ind w:left="480" w:hanging="480"/>
      </w:pPr>
      <w:r>
        <w:t xml:space="preserve">32. Shi D, Shi Y, Kaseb AO, et al. Chimeric antigen receptor-glypican-3 T-cell therapy for advanced hepatocellular carcinoma: results of phase I trials. Clin Cancer Res. 2020;26(15):3979-3989.</w:t>
      </w:r>
    </w:p>
    <w:p>
      <w:pPr>
        <w:spacing w:after="60" w:line="240" w:lineRule="auto"/>
        <w:ind w:left="480" w:hanging="480"/>
      </w:pPr>
      <w:r>
        <w:t xml:space="preserve">33. Haas AR, Tanyi JL, O'Hara MH, et al. Phase I study of lentiviral-transduced chimeric antigen receptor-modified T cells recognizing mesothelin in advanced solid cancers. Mol Ther. 2019;27(11):1919-1929.</w:t>
      </w:r>
    </w:p>
    <w:p>
      <w:pPr>
        <w:spacing w:after="60" w:line="240" w:lineRule="auto"/>
        <w:ind w:left="480" w:hanging="480"/>
      </w:pPr>
      <w:r>
        <w:t xml:space="preserve">34. Katz SC, Burga RA, McCormack E, et al. Phase I hepatic immunotherapy for metastases study of intra-arterial chimeric antigen receptor-modified T-cell therapy for CEA+ liver metastases. Clin Cancer Res. 2015;21(14):3149-3159.</w:t>
      </w:r>
    </w:p>
    <w:p>
      <w:pPr>
        <w:spacing w:after="60" w:line="240" w:lineRule="auto"/>
        <w:ind w:left="480" w:hanging="480"/>
      </w:pPr>
      <w:r>
        <w:t xml:space="preserve">35. Hege KM, Bergsland EK, Fisher GA, et al. Safety, tumor trafficking and immunogenicity of chimeric antigen receptor (CAR)-T cells specific for TAG-72 in colorectal cancer. J Immunother Cancer. 2017;5:22.</w:t>
      </w:r>
    </w:p>
    <w:p>
      <w:pPr>
        <w:spacing w:after="60" w:line="240" w:lineRule="auto"/>
        <w:ind w:left="480" w:hanging="480"/>
      </w:pPr>
      <w:r>
        <w:t xml:space="preserve">36. Yeku OO, Purdon TJ, Koneru M, Spriggs D, Brentjens RJ. Armored CAR T cells enhance antitumor efficacy and overcome the tumor microenvironment. Sci Rep. 2017;7(1):10541.</w:t>
      </w:r>
    </w:p>
    <w:p>
      <w:pPr>
        <w:spacing w:after="60" w:line="240" w:lineRule="auto"/>
        <w:ind w:left="480" w:hanging="480"/>
      </w:pPr>
      <w:r>
        <w:t xml:space="preserve">37. Chmielewski M, Abken H. CAR T cells releasing IL-18 convert to T-Bet(high) FoxO1(low) effectors that exhibit augmented activity against advanced solid tumors. Cell Rep. 2017;21(11):3205-3219.</w:t>
      </w:r>
    </w:p>
    <w:p>
      <w:pPr>
        <w:spacing w:after="60" w:line="240" w:lineRule="auto"/>
        <w:ind w:left="480" w:hanging="480"/>
      </w:pPr>
      <w:r>
        <w:t xml:space="preserve">38. Kloss CC, Lee J, Zhang A, et al. Dominant-negative TGF-beta receptor enhances PSMA-targeted human CAR T cell proliferation and augments prostate cancer eradication. Mol Ther. 2018;26(7):1855-1866.</w:t>
      </w:r>
    </w:p>
    <w:p>
      <w:pPr>
        <w:spacing w:after="60" w:line="240" w:lineRule="auto"/>
        <w:ind w:left="480" w:hanging="480"/>
      </w:pPr>
      <w:r>
        <w:t xml:space="preserve">39. Cherkassky L, Morello A, Villena-Vargas J, et al. Human CAR T cells with cell-intrinsic PD-1 checkpoint blockade resist tumor-mediated inhibition. J Clin Invest. 2016;126(8):3130-3144.</w:t>
      </w:r>
    </w:p>
    <w:p>
      <w:pPr>
        <w:spacing w:after="60" w:line="240" w:lineRule="auto"/>
        <w:ind w:left="480" w:hanging="480"/>
      </w:pPr>
      <w:r>
        <w:t xml:space="preserve">40. Tang N, Cheng C, Zhang X, et al. TGF-beta inhibition via CRISPR promotes the long-term efficacy of CAR T cells against solid tumors. JCI Insight. 2020;5(4):e133977.</w:t>
      </w:r>
    </w:p>
    <w:p>
      <w:pPr>
        <w:spacing w:after="60" w:line="240" w:lineRule="auto"/>
        <w:ind w:left="480" w:hanging="480"/>
      </w:pPr>
      <w:r>
        <w:t xml:space="preserve">41. Newick K, O'Brien S, Moon E, Albelda SM. CAR T cell therapy for solid tumors. Annu Rev Med. 2017;68:139-152.</w:t>
      </w:r>
    </w:p>
    <w:p>
      <w:pPr>
        <w:spacing w:after="60" w:line="240" w:lineRule="auto"/>
        <w:ind w:left="480" w:hanging="480"/>
      </w:pPr>
      <w:r>
        <w:t xml:space="preserve">42. Ma S, Li X, Wang X, et al. Current progress in CAR-T cell therapy for solid tumors. Int J Biol Sci. 2019;15(12):2548-2560.</w:t>
      </w:r>
    </w:p>
    <w:p>
      <w:pPr>
        <w:spacing w:after="60" w:line="240" w:lineRule="auto"/>
        <w:ind w:left="480" w:hanging="480"/>
      </w:pPr>
      <w:r>
        <w:t xml:space="preserve">43. Martinez M, Moon EK. CAR T cells for solid tumors: new strategies for finding, infiltrating, and surviving in the tumor microenvironment. Front Immunol. 2019;10:128.</w:t>
      </w:r>
    </w:p>
    <w:p>
      <w:pPr>
        <w:spacing w:after="60" w:line="240" w:lineRule="auto"/>
        <w:ind w:left="480" w:hanging="480"/>
      </w:pPr>
      <w:r>
        <w:t xml:space="preserve">44. Castellarin M, Watanabe K, June CH, Kloss CC, Posey AD Jr. Driving cars to the clinic for solid tumors. Gene Ther. 2018;25(3):165-175.</w:t>
      </w:r>
    </w:p>
    <w:p>
      <w:pPr>
        <w:spacing w:after="60" w:line="240" w:lineRule="auto"/>
        <w:ind w:left="480" w:hanging="480"/>
      </w:pPr>
      <w:r>
        <w:t xml:space="preserve">45. Page MJ, McKenzie JE, Bossuyt PM, et al. The PRISMA 2020 statement: an updated guideline for reporting systematic reviews. BMJ. 2021;372:n71.</w:t>
      </w:r>
    </w:p>
    <w:p>
      <w:pPr>
        <w:spacing w:after="60" w:line="240" w:lineRule="auto"/>
        <w:ind w:left="480" w:hanging="480"/>
      </w:pPr>
      <w:r>
        <w:t xml:space="preserve">46. Munn Z, Barker TH, Moola S, et al. Methodological quality of case series studies: an introduction to the JBI critical appraisal tool. JBI Evid Synth. 2020;18(10):2127-2133.</w:t>
      </w:r>
    </w:p>
    <w:p>
      <w:pPr>
        <w:spacing w:after="60" w:line="240" w:lineRule="auto"/>
        <w:ind w:left="480" w:hanging="480"/>
      </w:pPr>
      <w:r>
        <w:t xml:space="preserve">47. Viechtbauer W. Conducting meta-analyses in R with the metafor package. J Stat Softw. 2010;36(3):1-48.</w:t>
      </w:r>
    </w:p>
    <w:p>
      <w:pPr>
        <w:spacing w:after="60" w:line="240" w:lineRule="auto"/>
        <w:ind w:left="480" w:hanging="480"/>
      </w:pPr>
      <w:r>
        <w:t xml:space="preserve">48. IntHout J, Ioannidis JP, Borm GF. The Hartung-Knapp-Sidik-Jonkman method for random effects meta-analysis is straightforward and considerably outperforms the standard DerSimonian-Laird method. BMC Med Res Methodol. 2014;14:25.</w:t>
      </w:r>
    </w:p>
    <w:p>
      <w:pPr>
        <w:spacing w:after="60" w:line="240" w:lineRule="auto"/>
        <w:ind w:left="480" w:hanging="480"/>
      </w:pPr>
      <w:r>
        <w:t xml:space="preserve">49. Jackson D, Law M, Rucker G, Schwarzer G. The Hartung-Knapp modification for random-effects meta-analysis: a useful refinement but are there any residual concerns? Stat Med. 2017;36(25):3923-3934.</w:t>
      </w:r>
    </w:p>
    <w:p>
      <w:pPr>
        <w:spacing w:after="60" w:line="240" w:lineRule="auto"/>
        <w:ind w:left="480" w:hanging="480"/>
      </w:pPr>
      <w:r>
        <w:t xml:space="preserve">50. Freeman MF, Tukey JW. Transformations related to the angular and the square root. Ann Math Stat. 1950;21(4):607-611.</w:t>
      </w:r>
    </w:p>
    <w:p>
      <w:pPr>
        <w:spacing w:after="60" w:line="240" w:lineRule="auto"/>
        <w:ind w:left="480" w:hanging="480"/>
      </w:pPr>
      <w:r>
        <w:t xml:space="preserve">51. DerSimonian R, Laird N. Meta-analysis in clinical trials. Control Clin Trials. 1986;7(3):177-188.</w:t>
      </w:r>
    </w:p>
    <w:p>
      <w:pPr>
        <w:spacing w:after="60" w:line="240" w:lineRule="auto"/>
        <w:ind w:left="480" w:hanging="480"/>
      </w:pPr>
      <w:r>
        <w:t xml:space="preserve">52. Clopper CJ, Pearson ES. The use of confidence or fiducial limits illustrated in the case of the binomial. Biometrika. 1934;26(4):404-413.</w:t>
      </w:r>
    </w:p>
    <w:p>
      <w:pPr>
        <w:spacing w:after="60" w:line="240" w:lineRule="auto"/>
        <w:ind w:left="480" w:hanging="480"/>
      </w:pPr>
      <w:r>
        <w:t xml:space="preserve">53. Higgins JP, Thompson SG, Deeks JJ, Altman DG. Measuring inconsistency in meta-analyses. BMJ. 2003;327(7414):557-560.</w:t>
      </w:r>
    </w:p>
    <w:p>
      <w:pPr>
        <w:spacing w:after="60" w:line="240" w:lineRule="auto"/>
        <w:ind w:left="480" w:hanging="480"/>
      </w:pPr>
      <w:r>
        <w:t xml:space="preserve">54. Riley RD, Higgins JP, Deeks JJ. Interpretation of random effects meta-analyses. BMJ. 2011;342:d549.</w:t>
      </w:r>
    </w:p>
    <w:p>
      <w:pPr>
        <w:spacing w:after="60" w:line="240" w:lineRule="auto"/>
        <w:ind w:left="480" w:hanging="480"/>
      </w:pPr>
      <w:r>
        <w:t xml:space="preserve">55. Egger M, Davey Smith G, Schneider M, Minder C. Bias in meta-analysis detected by a simple, graphical test. BMJ. 1997;315(7109):629-634.</w:t>
      </w:r>
    </w:p>
    <w:p>
      <w:pPr>
        <w:spacing w:after="60" w:line="240" w:lineRule="auto"/>
        <w:ind w:left="480" w:hanging="480"/>
      </w:pPr>
      <w:r>
        <w:t xml:space="preserve">56. Guyatt GH, Oxman AD, Vist GE, et al. GRADE: an emerging consensus on rating quality of evidence and strength of recommendations. BMJ. 2008;336(7650):924-926.</w:t>
      </w:r>
    </w:p>
    <w:p>
      <w:pPr>
        <w:spacing w:after="60" w:line="240" w:lineRule="auto"/>
        <w:ind w:left="480" w:hanging="480"/>
      </w:pPr>
      <w:r>
        <w:t xml:space="preserve">57. R Core Team. R: A language and environment for statistical computing. R Foundation for Statistical Computing, Vienna, Austria. 2024.</w:t>
      </w:r>
    </w:p>
    <w:p>
      <w:pPr>
        <w:spacing w:after="60" w:line="240" w:lineRule="auto"/>
        <w:ind w:left="480" w:hanging="480"/>
      </w:pPr>
      <w:r>
        <w:t xml:space="preserve">58. Heczey A, Courtney AN, Montalbano A, et al. Anti-GPC3 CAR T cells with IL-15 armoring eradicate hepatocellular carcinoma and liver metastatic sarcoma. Nature. 2024;636(8041):E1-E12.</w:t>
      </w:r>
    </w:p>
    <w:p>
      <w:pPr>
        <w:spacing w:after="60" w:line="240" w:lineRule="auto"/>
        <w:ind w:left="480" w:hanging="480"/>
      </w:pPr>
      <w:r>
        <w:t xml:space="preserve">59. Chen N, Pu C, Zhao L, et al. Chimeric antigen receptor T cells targeting CD19 and GCC in metastatic colorectal cancer: a nonrandomized clinical trial. JAMA Oncol. 2024;10(9):e243215.</w:t>
      </w:r>
    </w:p>
    <w:p>
      <w:pPr>
        <w:spacing w:after="60" w:line="240" w:lineRule="auto"/>
        <w:ind w:left="480" w:hanging="480"/>
      </w:pPr>
      <w:r>
        <w:t xml:space="preserve">60. Narayan V, Barber-Rotenberg JS, Jung IY, et al. PSMA-targeting TGFbeta-insensitive armored CAR T cells in metastatic castration-resistant prostate cancer: a phase 1 trial. Nat Med. 2022;28(4):724-734.</w:t>
      </w:r>
    </w:p>
    <w:p>
      <w:pPr>
        <w:spacing w:after="60" w:line="240" w:lineRule="auto"/>
        <w:ind w:left="480" w:hanging="480"/>
      </w:pPr>
      <w:r>
        <w:t xml:space="preserve">61. Wang Z, Chen C, Wang L, et al. Phase I study of CAR-T cells with PD-1 and TCR disruption in mesothelin-positive solid tumors. Cell Mol Immunol. 2021;18(9):2188-2198.</w:t>
      </w:r>
    </w:p>
    <w:p>
      <w:pPr>
        <w:spacing w:after="60" w:line="240" w:lineRule="auto"/>
        <w:ind w:left="480" w:hanging="480"/>
      </w:pPr>
      <w:r>
        <w:t xml:space="preserve">62. Qi C, Gong J, Li J, et al. Claudin18.2-specific CAR T cells in gastrointestinal cancers: phase 1 trial interim results. Nat Med. 2022;28(6):1189-1198.</w:t>
      </w:r>
    </w:p>
    <w:p>
      <w:pPr>
        <w:spacing w:after="60" w:line="240" w:lineRule="auto"/>
        <w:ind w:left="480" w:hanging="480"/>
      </w:pPr>
      <w:r>
        <w:t xml:space="preserve">63. Qi C, Liu C, Peng Z, et al. Claudin-18 isoform 2-specific CAR T-cell therapy (satri-cel) versus treatment of physician's choice for previously treated advanced gastric or gastro-oesophageal junction cancer (CT041-ST-01): a randomised, open-label, phase 2 trial. Lancet. 2025;405(10494):2049-2060.</w:t>
      </w:r>
    </w:p>
    <w:p>
      <w:pPr>
        <w:spacing w:after="60" w:line="240" w:lineRule="auto"/>
        <w:ind w:left="480" w:hanging="480"/>
      </w:pPr>
      <w:r>
        <w:t xml:space="preserve">64. Sahin U, Koslowski M, Dhaene K, et al. Claudin-18 splice variant 2 is a pan-cancer target suitable for therapeutic antibody development. Clin Cancer Res. 2008;14(23):7624-7634.</w:t>
      </w:r>
    </w:p>
    <w:p>
      <w:pPr>
        <w:spacing w:after="60" w:line="240" w:lineRule="auto"/>
        <w:ind w:left="480" w:hanging="480"/>
      </w:pPr>
      <w:r>
        <w:t xml:space="preserve">65. Rohde C, Yamaguchi R, Mukhina S, Herlyn M, Bhardwaj N. Claudin 18.2: a potential target for cancer therapy. J Cancer Res Clin Oncol. 2021;147(5):1353-1364.</w:t>
      </w:r>
    </w:p>
    <w:p>
      <w:pPr>
        <w:spacing w:after="60" w:line="240" w:lineRule="auto"/>
        <w:ind w:left="480" w:hanging="480"/>
      </w:pPr>
      <w:r>
        <w:t xml:space="preserve">66. Ho WJ, Jaffee EM, Zheng L. The tumour microenvironment in pancreatic cancer: clinical challenges and opportunities. Nat Rev Clin Oncol. 2020;17(9):527-540.</w:t>
      </w:r>
    </w:p>
    <w:p>
      <w:pPr>
        <w:spacing w:after="60" w:line="240" w:lineRule="auto"/>
        <w:ind w:left="480" w:hanging="480"/>
      </w:pPr>
      <w:r>
        <w:t xml:space="preserve">67. Robert C. A decade of immune-checkpoint inhibitors in cancer therapy. Nat Commun. 2020;11(1):3801.</w:t>
      </w:r>
    </w:p>
    <w:p>
      <w:pPr>
        <w:spacing w:after="60" w:line="240" w:lineRule="auto"/>
        <w:ind w:left="480" w:hanging="480"/>
      </w:pPr>
      <w:r>
        <w:t xml:space="preserve">68. Goebeler ME, Bargou RC. T cell-engaging therapies: BiTEs and beyond. Nat Rev Clin Oncol. 2020;17(7):418-434.</w:t>
      </w:r>
    </w:p>
    <w:p>
      <w:pPr>
        <w:spacing w:after="60" w:line="240" w:lineRule="auto"/>
        <w:ind w:left="480" w:hanging="480"/>
      </w:pPr>
      <w:r>
        <w:t xml:space="preserve">69. Lin JK, Muffly LS, Spinner MA, et al. Cost effectiveness of chimeric antigen receptor T-cell therapy in multiply relapsed or refractory adult large B-cell lymphoma. J Clin Oncol. 2019;37(24):2105-2119.</w:t>
      </w:r>
    </w:p>
    <w:p>
      <w:pPr>
        <w:spacing w:after="60" w:line="240" w:lineRule="auto"/>
        <w:ind w:left="480" w:hanging="480"/>
      </w:pPr>
      <w:r>
        <w:t xml:space="preserve">70. Whittington MD, McQueen RB, Ollendorf DA, et al. Long-term survival and value of chimeric antigen receptor T-cell therapy for heavily pretreated patients with treatment-refractory large B-cell lymphoma. JAMA Netw Open. 2021;4(12):e2137685.</w:t>
      </w:r>
    </w:p>
    <w:p>
      <w:r>
        <w:br w:type="page"/>
      </w:r>
    </w:p>
    <w:p>
      <w:pPr>
        <w:pStyle w:val="Heading1"/>
      </w:pPr>
      <w:r>
        <w:t xml:space="preserve">Tables</w:t>
      </w:r>
    </w:p>
    <w:p>
      <w:pPr>
        <w:pStyle w:val="Heading2"/>
      </w:pPr>
      <w:r>
        <w:t xml:space="preserve">Table 1. Characteristics of Included Studies</w:t>
      </w:r>
    </w:p>
    <w:tbl>
      <w:tblPr>
        <w:tblW w:w="5000" w:type="pct"/>
        <w:tblBorders>
          <w:top w:val="single" w:color="000000" w:sz="8"/>
          <w:left w:val="single" w:color="000000" w:sz="8"/>
          <w:bottom w:val="single" w:color="000000" w:sz="8"/>
          <w:right w:val="single" w:color="000000" w:sz="8"/>
          <w:insideH w:val="single" w:color="000000" w:sz="4"/>
          <w:insideV w:val="single" w:color="000000" w:sz="4"/>
        </w:tblBorders>
      </w:tblPr>
      <w:tblGrid>
        <w:gridCol w:w="1400"/>
        <w:gridCol w:w="600"/>
        <w:gridCol w:w="700"/>
        <w:gridCol w:w="500"/>
        <w:gridCol w:w="800"/>
        <w:gridCol w:w="900"/>
        <w:gridCol w:w="800"/>
        <w:gridCol w:w="900"/>
        <w:gridCol w:w="700"/>
        <w:gridCol w:w="700"/>
      </w:tblGrid>
      <w:tr>
        <w:tc>
          <w:tcPr>
            <w:shd w:val="clear" w:fill="E0E0E0"/>
          </w:tcPr>
          <w:p>
            <w:pPr>
              <w:jc w:val="center"/>
            </w:pPr>
            <w:r>
              <w:rPr>
                <w:b/>
                <w:sz w:val="18"/>
              </w:rPr>
              <w:t xml:space="preserve">Study (First Author)</w:t>
            </w:r>
          </w:p>
        </w:tc>
        <w:tc>
          <w:tcPr>
            <w:shd w:val="clear" w:fill="E0E0E0"/>
          </w:tcPr>
          <w:p>
            <w:pPr>
              <w:jc w:val="center"/>
            </w:pPr>
            <w:r>
              <w:rPr>
                <w:b/>
                <w:sz w:val="18"/>
              </w:rPr>
              <w:t xml:space="preserve">Year</w:t>
            </w:r>
          </w:p>
        </w:tc>
        <w:tc>
          <w:tcPr>
            <w:shd w:val="clear" w:fill="E0E0E0"/>
          </w:tcPr>
          <w:p>
            <w:pPr>
              <w:jc w:val="center"/>
            </w:pPr>
            <w:r>
              <w:rPr>
                <w:b/>
                <w:sz w:val="18"/>
              </w:rPr>
              <w:t xml:space="preserve">Country</w:t>
            </w:r>
          </w:p>
        </w:tc>
        <w:tc>
          <w:tcPr>
            <w:shd w:val="clear" w:fill="E0E0E0"/>
          </w:tcPr>
          <w:p>
            <w:pPr>
              <w:jc w:val="center"/>
            </w:pPr>
            <w:r>
              <w:rPr>
                <w:b/>
                <w:sz w:val="18"/>
              </w:rPr>
              <w:t xml:space="preserve">N</w:t>
            </w:r>
          </w:p>
        </w:tc>
        <w:tc>
          <w:tcPr>
            <w:shd w:val="clear" w:fill="E0E0E0"/>
          </w:tcPr>
          <w:p>
            <w:pPr>
              <w:jc w:val="center"/>
            </w:pPr>
            <w:r>
              <w:rPr>
                <w:b/>
                <w:sz w:val="18"/>
              </w:rPr>
              <w:t xml:space="preserve">Target</w:t>
            </w:r>
          </w:p>
        </w:tc>
        <w:tc>
          <w:tcPr>
            <w:shd w:val="clear" w:fill="E0E0E0"/>
          </w:tcPr>
          <w:p>
            <w:pPr>
              <w:jc w:val="center"/>
            </w:pPr>
            <w:r>
              <w:rPr>
                <w:b/>
                <w:sz w:val="18"/>
              </w:rPr>
              <w:t xml:space="preserve">Tumor Type</w:t>
            </w:r>
          </w:p>
        </w:tc>
        <w:tc>
          <w:tcPr>
            <w:shd w:val="clear" w:fill="E0E0E0"/>
          </w:tcPr>
          <w:p>
            <w:pPr>
              <w:jc w:val="center"/>
            </w:pPr>
            <w:r>
              <w:rPr>
                <w:b/>
                <w:sz w:val="18"/>
              </w:rPr>
              <w:t xml:space="preserve">CAR Gen</w:t>
            </w:r>
          </w:p>
        </w:tc>
        <w:tc>
          <w:tcPr>
            <w:shd w:val="clear" w:fill="E0E0E0"/>
          </w:tcPr>
          <w:p>
            <w:pPr>
              <w:jc w:val="center"/>
            </w:pPr>
            <w:r>
              <w:rPr>
                <w:b/>
                <w:sz w:val="18"/>
              </w:rPr>
              <w:t xml:space="preserve">Costimulatory</w:t>
            </w:r>
          </w:p>
        </w:tc>
        <w:tc>
          <w:tcPr>
            <w:shd w:val="clear" w:fill="E0E0E0"/>
          </w:tcPr>
          <w:p>
            <w:pPr>
              <w:jc w:val="center"/>
            </w:pPr>
            <w:r>
              <w:rPr>
                <w:b/>
                <w:sz w:val="18"/>
              </w:rPr>
              <w:t xml:space="preserve">Armored</w:t>
            </w:r>
          </w:p>
        </w:tc>
        <w:tc>
          <w:tcPr>
            <w:shd w:val="clear" w:fill="E0E0E0"/>
          </w:tcPr>
          <w:p>
            <w:pPr>
              <w:jc w:val="center"/>
            </w:pPr>
            <w:r>
              <w:rPr>
                <w:b/>
                <w:sz w:val="18"/>
              </w:rPr>
              <w:t xml:space="preserve">ORR</w:t>
            </w:r>
          </w:p>
        </w:tc>
      </w:tr>
      <w:tr>
        <w:tc>
          <w:tcPr/>
          <w:p>
            <w:pPr>
              <w:jc w:val="left"/>
            </w:pPr>
            <w:r>
              <w:rPr>
                <w:sz w:val="18"/>
              </w:rPr>
              <w:t xml:space="preserve">Beatty GL (MSLN)</w:t>
            </w:r>
          </w:p>
        </w:tc>
        <w:tc>
          <w:tcPr/>
          <w:p>
            <w:pPr>
              <w:jc w:val="left"/>
            </w:pPr>
            <w:r>
              <w:rPr>
                <w:sz w:val="18"/>
              </w:rPr>
              <w:t xml:space="preserve">2014</w:t>
            </w:r>
          </w:p>
        </w:tc>
        <w:tc>
          <w:tcPr/>
          <w:p>
            <w:pPr>
              <w:jc w:val="left"/>
            </w:pPr>
            <w:r>
              <w:rPr>
                <w:sz w:val="18"/>
              </w:rPr>
              <w:t xml:space="preserve">USA</w:t>
            </w:r>
          </w:p>
        </w:tc>
        <w:tc>
          <w:tcPr/>
          <w:p>
            <w:pPr>
              <w:jc w:val="left"/>
            </w:pPr>
            <w:r>
              <w:rPr>
                <w:sz w:val="18"/>
              </w:rPr>
              <w:t xml:space="preserve">6</w:t>
            </w:r>
          </w:p>
        </w:tc>
        <w:tc>
          <w:tcPr/>
          <w:p>
            <w:pPr>
              <w:jc w:val="left"/>
            </w:pPr>
            <w:r>
              <w:rPr>
                <w:sz w:val="18"/>
              </w:rPr>
              <w:t xml:space="preserve">MSLN</w:t>
            </w:r>
          </w:p>
        </w:tc>
        <w:tc>
          <w:tcPr/>
          <w:p>
            <w:pPr>
              <w:jc w:val="left"/>
            </w:pPr>
            <w:r>
              <w:rPr>
                <w:sz w:val="18"/>
              </w:rPr>
              <w:t xml:space="preserve">Pancreatic</w:t>
            </w:r>
          </w:p>
        </w:tc>
        <w:tc>
          <w:tcPr/>
          <w:p>
            <w:pPr>
              <w:jc w:val="left"/>
            </w:pPr>
            <w:r>
              <w:rPr>
                <w:sz w:val="18"/>
              </w:rPr>
              <w:t xml:space="preserve">2G</w:t>
            </w:r>
          </w:p>
        </w:tc>
        <w:tc>
          <w:tcPr/>
          <w:p>
            <w:pPr>
              <w:jc w:val="left"/>
            </w:pPr>
            <w:r>
              <w:rPr>
                <w:sz w:val="18"/>
              </w:rPr>
              <w:t xml:space="preserve">CD3z</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Ahmed N (HER2)</w:t>
            </w:r>
          </w:p>
        </w:tc>
        <w:tc>
          <w:tcPr/>
          <w:p>
            <w:pPr>
              <w:jc w:val="left"/>
            </w:pPr>
            <w:r>
              <w:rPr>
                <w:sz w:val="18"/>
              </w:rPr>
              <w:t xml:space="preserve">2015</w:t>
            </w:r>
          </w:p>
        </w:tc>
        <w:tc>
          <w:tcPr/>
          <w:p>
            <w:pPr>
              <w:jc w:val="left"/>
            </w:pPr>
            <w:r>
              <w:rPr>
                <w:sz w:val="18"/>
              </w:rPr>
              <w:t xml:space="preserve">USA</w:t>
            </w:r>
          </w:p>
        </w:tc>
        <w:tc>
          <w:tcPr/>
          <w:p>
            <w:pPr>
              <w:jc w:val="left"/>
            </w:pPr>
            <w:r>
              <w:rPr>
                <w:sz w:val="18"/>
              </w:rPr>
              <w:t xml:space="preserve">10</w:t>
            </w:r>
          </w:p>
        </w:tc>
        <w:tc>
          <w:tcPr/>
          <w:p>
            <w:pPr>
              <w:jc w:val="left"/>
            </w:pPr>
            <w:r>
              <w:rPr>
                <w:sz w:val="18"/>
              </w:rPr>
              <w:t xml:space="preserve">HER2</w:t>
            </w:r>
          </w:p>
        </w:tc>
        <w:tc>
          <w:tcPr/>
          <w:p>
            <w:pPr>
              <w:jc w:val="left"/>
            </w:pPr>
            <w:r>
              <w:rPr>
                <w:sz w:val="18"/>
              </w:rPr>
              <w:t xml:space="preserve">Sarcoma</w:t>
            </w:r>
          </w:p>
        </w:tc>
        <w:tc>
          <w:tcPr/>
          <w:p>
            <w:pPr>
              <w:jc w:val="left"/>
            </w:pPr>
            <w:r>
              <w:rPr>
                <w:sz w:val="18"/>
              </w:rPr>
              <w:t xml:space="preserve">2G</w:t>
            </w:r>
          </w:p>
        </w:tc>
        <w:tc>
          <w:tcPr/>
          <w:p>
            <w:pPr>
              <w:jc w:val="left"/>
            </w:pPr>
            <w:r>
              <w:rPr>
                <w:sz w:val="18"/>
              </w:rPr>
              <w:t xml:space="preserve">CD28</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Junghans (PSMA)</w:t>
            </w:r>
          </w:p>
        </w:tc>
        <w:tc>
          <w:tcPr/>
          <w:p>
            <w:pPr>
              <w:jc w:val="left"/>
            </w:pPr>
            <w:r>
              <w:rPr>
                <w:sz w:val="18"/>
              </w:rPr>
              <w:t xml:space="preserve">2016</w:t>
            </w:r>
          </w:p>
        </w:tc>
        <w:tc>
          <w:tcPr/>
          <w:p>
            <w:pPr>
              <w:jc w:val="left"/>
            </w:pPr>
            <w:r>
              <w:rPr>
                <w:sz w:val="18"/>
              </w:rPr>
              <w:t xml:space="preserve">USA</w:t>
            </w:r>
          </w:p>
        </w:tc>
        <w:tc>
          <w:tcPr/>
          <w:p>
            <w:pPr>
              <w:jc w:val="left"/>
            </w:pPr>
            <w:r>
              <w:rPr>
                <w:sz w:val="18"/>
              </w:rPr>
              <w:t xml:space="preserve">7</w:t>
            </w:r>
          </w:p>
        </w:tc>
        <w:tc>
          <w:tcPr/>
          <w:p>
            <w:pPr>
              <w:jc w:val="left"/>
            </w:pPr>
            <w:r>
              <w:rPr>
                <w:sz w:val="18"/>
              </w:rPr>
              <w:t xml:space="preserve">PSMA</w:t>
            </w:r>
          </w:p>
        </w:tc>
        <w:tc>
          <w:tcPr/>
          <w:p>
            <w:pPr>
              <w:jc w:val="left"/>
            </w:pPr>
            <w:r>
              <w:rPr>
                <w:sz w:val="18"/>
              </w:rPr>
              <w:t xml:space="preserve">Prostate</w:t>
            </w:r>
          </w:p>
        </w:tc>
        <w:tc>
          <w:tcPr/>
          <w:p>
            <w:pPr>
              <w:jc w:val="left"/>
            </w:pPr>
            <w:r>
              <w:rPr>
                <w:sz w:val="18"/>
              </w:rPr>
              <w:t xml:space="preserve">2G</w:t>
            </w:r>
          </w:p>
        </w:tc>
        <w:tc>
          <w:tcPr/>
          <w:p>
            <w:pPr>
              <w:jc w:val="left"/>
            </w:pPr>
            <w:r>
              <w:rPr>
                <w:sz w:val="18"/>
              </w:rPr>
              <w:t xml:space="preserve">CD28</w:t>
            </w:r>
          </w:p>
        </w:tc>
        <w:tc>
          <w:tcPr/>
          <w:p>
            <w:pPr>
              <w:jc w:val="left"/>
            </w:pPr>
            <w:r>
              <w:rPr>
                <w:sz w:val="18"/>
              </w:rPr>
              <w:t xml:space="preserve">No</w:t>
            </w:r>
          </w:p>
        </w:tc>
        <w:tc>
          <w:tcPr/>
          <w:p>
            <w:pPr>
              <w:jc w:val="left"/>
            </w:pPr>
            <w:r>
              <w:rPr>
                <w:sz w:val="18"/>
              </w:rPr>
              <w:t xml:space="preserve">29%</w:t>
            </w:r>
          </w:p>
        </w:tc>
      </w:tr>
      <w:tr>
        <w:tc>
          <w:tcPr/>
          <w:p>
            <w:pPr>
              <w:jc w:val="left"/>
            </w:pPr>
            <w:r>
              <w:rPr>
                <w:sz w:val="18"/>
              </w:rPr>
              <w:t xml:space="preserve">Katz SC (CEA)</w:t>
            </w:r>
          </w:p>
        </w:tc>
        <w:tc>
          <w:tcPr/>
          <w:p>
            <w:pPr>
              <w:jc w:val="left"/>
            </w:pPr>
            <w:r>
              <w:rPr>
                <w:sz w:val="18"/>
              </w:rPr>
              <w:t xml:space="preserve">2015</w:t>
            </w:r>
          </w:p>
        </w:tc>
        <w:tc>
          <w:tcPr/>
          <w:p>
            <w:pPr>
              <w:jc w:val="left"/>
            </w:pPr>
            <w:r>
              <w:rPr>
                <w:sz w:val="18"/>
              </w:rPr>
              <w:t xml:space="preserve">USA</w:t>
            </w:r>
          </w:p>
        </w:tc>
        <w:tc>
          <w:tcPr/>
          <w:p>
            <w:pPr>
              <w:jc w:val="left"/>
            </w:pPr>
            <w:r>
              <w:rPr>
                <w:sz w:val="18"/>
              </w:rPr>
              <w:t xml:space="preserve">10</w:t>
            </w:r>
          </w:p>
        </w:tc>
        <w:tc>
          <w:tcPr/>
          <w:p>
            <w:pPr>
              <w:jc w:val="left"/>
            </w:pPr>
            <w:r>
              <w:rPr>
                <w:sz w:val="18"/>
              </w:rPr>
              <w:t xml:space="preserve">CEA</w:t>
            </w:r>
          </w:p>
        </w:tc>
        <w:tc>
          <w:tcPr/>
          <w:p>
            <w:pPr>
              <w:jc w:val="left"/>
            </w:pPr>
            <w:r>
              <w:rPr>
                <w:sz w:val="18"/>
              </w:rPr>
              <w:t xml:space="preserve">Colorectal (liver mets)</w:t>
            </w:r>
          </w:p>
        </w:tc>
        <w:tc>
          <w:tcPr/>
          <w:p>
            <w:pPr>
              <w:jc w:val="left"/>
            </w:pPr>
            <w:r>
              <w:rPr>
                <w:sz w:val="18"/>
              </w:rPr>
              <w:t xml:space="preserve">2G</w:t>
            </w:r>
          </w:p>
        </w:tc>
        <w:tc>
          <w:tcPr/>
          <w:p>
            <w:pPr>
              <w:jc w:val="left"/>
            </w:pPr>
            <w:r>
              <w:rPr>
                <w:sz w:val="18"/>
              </w:rPr>
              <w:t xml:space="preserve">CD28</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Hege (TAG-72)</w:t>
            </w:r>
          </w:p>
        </w:tc>
        <w:tc>
          <w:tcPr/>
          <w:p>
            <w:pPr>
              <w:jc w:val="left"/>
            </w:pPr>
            <w:r>
              <w:rPr>
                <w:sz w:val="18"/>
              </w:rPr>
              <w:t xml:space="preserve">2017</w:t>
            </w:r>
          </w:p>
        </w:tc>
        <w:tc>
          <w:tcPr/>
          <w:p>
            <w:pPr>
              <w:jc w:val="left"/>
            </w:pPr>
            <w:r>
              <w:rPr>
                <w:sz w:val="18"/>
              </w:rPr>
              <w:t xml:space="preserve">USA</w:t>
            </w:r>
          </w:p>
        </w:tc>
        <w:tc>
          <w:tcPr/>
          <w:p>
            <w:pPr>
              <w:jc w:val="left"/>
            </w:pPr>
            <w:r>
              <w:rPr>
                <w:sz w:val="18"/>
              </w:rPr>
              <w:t xml:space="preserve">16</w:t>
            </w:r>
          </w:p>
        </w:tc>
        <w:tc>
          <w:tcPr/>
          <w:p>
            <w:pPr>
              <w:jc w:val="left"/>
            </w:pPr>
            <w:r>
              <w:rPr>
                <w:sz w:val="18"/>
              </w:rPr>
              <w:t xml:space="preserve">TAG-72</w:t>
            </w:r>
          </w:p>
        </w:tc>
        <w:tc>
          <w:tcPr/>
          <w:p>
            <w:pPr>
              <w:jc w:val="left"/>
            </w:pPr>
            <w:r>
              <w:rPr>
                <w:sz w:val="18"/>
              </w:rPr>
              <w:t xml:space="preserve">Colorectal</w:t>
            </w:r>
          </w:p>
        </w:tc>
        <w:tc>
          <w:tcPr/>
          <w:p>
            <w:pPr>
              <w:jc w:val="left"/>
            </w:pPr>
            <w:r>
              <w:rPr>
                <w:sz w:val="18"/>
              </w:rPr>
              <w:t xml:space="preserve">2G</w:t>
            </w:r>
          </w:p>
        </w:tc>
        <w:tc>
          <w:tcPr/>
          <w:p>
            <w:pPr>
              <w:jc w:val="left"/>
            </w:pPr>
            <w:r>
              <w:rPr>
                <w:sz w:val="18"/>
              </w:rPr>
              <w:t xml:space="preserve">CD28</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Adusumilli (MSLN)</w:t>
            </w:r>
          </w:p>
        </w:tc>
        <w:tc>
          <w:tcPr/>
          <w:p>
            <w:pPr>
              <w:jc w:val="left"/>
            </w:pPr>
            <w:r>
              <w:rPr>
                <w:sz w:val="18"/>
              </w:rPr>
              <w:t xml:space="preserve">2021</w:t>
            </w:r>
          </w:p>
        </w:tc>
        <w:tc>
          <w:tcPr/>
          <w:p>
            <w:pPr>
              <w:jc w:val="left"/>
            </w:pPr>
            <w:r>
              <w:rPr>
                <w:sz w:val="18"/>
              </w:rPr>
              <w:t xml:space="preserve">USA</w:t>
            </w:r>
          </w:p>
        </w:tc>
        <w:tc>
          <w:tcPr/>
          <w:p>
            <w:pPr>
              <w:jc w:val="left"/>
            </w:pPr>
            <w:r>
              <w:rPr>
                <w:sz w:val="18"/>
              </w:rPr>
              <w:t xml:space="preserve">27</w:t>
            </w:r>
          </w:p>
        </w:tc>
        <w:tc>
          <w:tcPr/>
          <w:p>
            <w:pPr>
              <w:jc w:val="left"/>
            </w:pPr>
            <w:r>
              <w:rPr>
                <w:sz w:val="18"/>
              </w:rPr>
              <w:t xml:space="preserve">MSLN</w:t>
            </w:r>
          </w:p>
        </w:tc>
        <w:tc>
          <w:tcPr/>
          <w:p>
            <w:pPr>
              <w:jc w:val="left"/>
            </w:pPr>
            <w:r>
              <w:rPr>
                <w:sz w:val="18"/>
              </w:rPr>
              <w:t xml:space="preserve">Mesothelioma</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Haas (MSLN)</w:t>
            </w:r>
          </w:p>
        </w:tc>
        <w:tc>
          <w:tcPr/>
          <w:p>
            <w:pPr>
              <w:jc w:val="left"/>
            </w:pPr>
            <w:r>
              <w:rPr>
                <w:sz w:val="18"/>
              </w:rPr>
              <w:t xml:space="preserve">2019</w:t>
            </w:r>
          </w:p>
        </w:tc>
        <w:tc>
          <w:tcPr/>
          <w:p>
            <w:pPr>
              <w:jc w:val="left"/>
            </w:pPr>
            <w:r>
              <w:rPr>
                <w:sz w:val="18"/>
              </w:rPr>
              <w:t xml:space="preserve">USA</w:t>
            </w:r>
          </w:p>
        </w:tc>
        <w:tc>
          <w:tcPr/>
          <w:p>
            <w:pPr>
              <w:jc w:val="left"/>
            </w:pPr>
            <w:r>
              <w:rPr>
                <w:sz w:val="18"/>
              </w:rPr>
              <w:t xml:space="preserve">15</w:t>
            </w:r>
          </w:p>
        </w:tc>
        <w:tc>
          <w:tcPr/>
          <w:p>
            <w:pPr>
              <w:jc w:val="left"/>
            </w:pPr>
            <w:r>
              <w:rPr>
                <w:sz w:val="18"/>
              </w:rPr>
              <w:t xml:space="preserve">MSLN</w:t>
            </w:r>
          </w:p>
        </w:tc>
        <w:tc>
          <w:tcPr/>
          <w:p>
            <w:pPr>
              <w:jc w:val="left"/>
            </w:pPr>
            <w:r>
              <w:rPr>
                <w:sz w:val="18"/>
              </w:rPr>
              <w:t xml:space="preserve">Solid tumors</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No</w:t>
            </w:r>
          </w:p>
        </w:tc>
        <w:tc>
          <w:tcPr/>
          <w:p>
            <w:pPr>
              <w:jc w:val="left"/>
            </w:pPr>
            <w:r>
              <w:rPr>
                <w:sz w:val="18"/>
              </w:rPr>
              <w:t xml:space="preserve">0%</w:t>
            </w:r>
          </w:p>
        </w:tc>
      </w:tr>
      <w:tr>
        <w:tc>
          <w:tcPr/>
          <w:p>
            <w:pPr>
              <w:jc w:val="left"/>
            </w:pPr>
            <w:r>
              <w:rPr>
                <w:sz w:val="18"/>
              </w:rPr>
              <w:t xml:space="preserve">Shi (GPC3)</w:t>
            </w:r>
          </w:p>
        </w:tc>
        <w:tc>
          <w:tcPr/>
          <w:p>
            <w:pPr>
              <w:jc w:val="left"/>
            </w:pPr>
            <w:r>
              <w:rPr>
                <w:sz w:val="18"/>
              </w:rPr>
              <w:t xml:space="preserve">2020</w:t>
            </w:r>
          </w:p>
        </w:tc>
        <w:tc>
          <w:tcPr/>
          <w:p>
            <w:pPr>
              <w:jc w:val="left"/>
            </w:pPr>
            <w:r>
              <w:rPr>
                <w:sz w:val="18"/>
              </w:rPr>
              <w:t xml:space="preserve">China</w:t>
            </w:r>
          </w:p>
        </w:tc>
        <w:tc>
          <w:tcPr/>
          <w:p>
            <w:pPr>
              <w:jc w:val="left"/>
            </w:pPr>
            <w:r>
              <w:rPr>
                <w:sz w:val="18"/>
              </w:rPr>
              <w:t xml:space="preserve">13</w:t>
            </w:r>
          </w:p>
        </w:tc>
        <w:tc>
          <w:tcPr/>
          <w:p>
            <w:pPr>
              <w:jc w:val="left"/>
            </w:pPr>
            <w:r>
              <w:rPr>
                <w:sz w:val="18"/>
              </w:rPr>
              <w:t xml:space="preserve">GPC3</w:t>
            </w:r>
          </w:p>
        </w:tc>
        <w:tc>
          <w:tcPr/>
          <w:p>
            <w:pPr>
              <w:jc w:val="left"/>
            </w:pPr>
            <w:r>
              <w:rPr>
                <w:sz w:val="18"/>
              </w:rPr>
              <w:t xml:space="preserve">HCC</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No</w:t>
            </w:r>
          </w:p>
        </w:tc>
        <w:tc>
          <w:tcPr/>
          <w:p>
            <w:pPr>
              <w:jc w:val="left"/>
            </w:pPr>
            <w:r>
              <w:rPr>
                <w:sz w:val="18"/>
              </w:rPr>
              <w:t xml:space="preserve">15%</w:t>
            </w:r>
          </w:p>
        </w:tc>
      </w:tr>
      <w:tr>
        <w:tc>
          <w:tcPr/>
          <w:p>
            <w:pPr>
              <w:jc w:val="left"/>
            </w:pPr>
            <w:r>
              <w:rPr>
                <w:sz w:val="18"/>
              </w:rPr>
              <w:t xml:space="preserve">Heczey (GPC3)</w:t>
            </w:r>
          </w:p>
        </w:tc>
        <w:tc>
          <w:tcPr/>
          <w:p>
            <w:pPr>
              <w:jc w:val="left"/>
            </w:pPr>
            <w:r>
              <w:rPr>
                <w:sz w:val="18"/>
              </w:rPr>
              <w:t xml:space="preserve">2024</w:t>
            </w:r>
          </w:p>
        </w:tc>
        <w:tc>
          <w:tcPr/>
          <w:p>
            <w:pPr>
              <w:jc w:val="left"/>
            </w:pPr>
            <w:r>
              <w:rPr>
                <w:sz w:val="18"/>
              </w:rPr>
              <w:t xml:space="preserve">USA</w:t>
            </w:r>
          </w:p>
        </w:tc>
        <w:tc>
          <w:tcPr/>
          <w:p>
            <w:pPr>
              <w:jc w:val="left"/>
            </w:pPr>
            <w:r>
              <w:rPr>
                <w:sz w:val="18"/>
              </w:rPr>
              <w:t xml:space="preserve">30</w:t>
            </w:r>
          </w:p>
        </w:tc>
        <w:tc>
          <w:tcPr/>
          <w:p>
            <w:pPr>
              <w:jc w:val="left"/>
            </w:pPr>
            <w:r>
              <w:rPr>
                <w:sz w:val="18"/>
              </w:rPr>
              <w:t xml:space="preserve">GPC3</w:t>
            </w:r>
          </w:p>
        </w:tc>
        <w:tc>
          <w:tcPr/>
          <w:p>
            <w:pPr>
              <w:jc w:val="left"/>
            </w:pPr>
            <w:r>
              <w:rPr>
                <w:sz w:val="18"/>
              </w:rPr>
              <w:t xml:space="preserve">HCC</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Yes (IL-15)</w:t>
            </w:r>
          </w:p>
        </w:tc>
        <w:tc>
          <w:tcPr/>
          <w:p>
            <w:pPr>
              <w:jc w:val="left"/>
            </w:pPr>
            <w:r>
              <w:rPr>
                <w:sz w:val="18"/>
              </w:rPr>
              <w:t xml:space="preserve">40%</w:t>
            </w:r>
          </w:p>
        </w:tc>
      </w:tr>
      <w:tr>
        <w:tc>
          <w:tcPr/>
          <w:p>
            <w:pPr>
              <w:jc w:val="left"/>
            </w:pPr>
            <w:r>
              <w:rPr>
                <w:sz w:val="18"/>
              </w:rPr>
              <w:t xml:space="preserve">Chen N (GCC+CD19)</w:t>
            </w:r>
          </w:p>
        </w:tc>
        <w:tc>
          <w:tcPr/>
          <w:p>
            <w:pPr>
              <w:jc w:val="left"/>
            </w:pPr>
            <w:r>
              <w:rPr>
                <w:sz w:val="18"/>
              </w:rPr>
              <w:t xml:space="preserve">2024</w:t>
            </w:r>
          </w:p>
        </w:tc>
        <w:tc>
          <w:tcPr/>
          <w:p>
            <w:pPr>
              <w:jc w:val="left"/>
            </w:pPr>
            <w:r>
              <w:rPr>
                <w:sz w:val="18"/>
              </w:rPr>
              <w:t xml:space="preserve">China</w:t>
            </w:r>
          </w:p>
        </w:tc>
        <w:tc>
          <w:tcPr/>
          <w:p>
            <w:pPr>
              <w:jc w:val="left"/>
            </w:pPr>
            <w:r>
              <w:rPr>
                <w:sz w:val="18"/>
              </w:rPr>
              <w:t xml:space="preserve">15</w:t>
            </w:r>
          </w:p>
        </w:tc>
        <w:tc>
          <w:tcPr/>
          <w:p>
            <w:pPr>
              <w:jc w:val="left"/>
            </w:pPr>
            <w:r>
              <w:rPr>
                <w:sz w:val="18"/>
              </w:rPr>
              <w:t xml:space="preserve">GCC+CD19</w:t>
            </w:r>
          </w:p>
        </w:tc>
        <w:tc>
          <w:tcPr/>
          <w:p>
            <w:pPr>
              <w:jc w:val="left"/>
            </w:pPr>
            <w:r>
              <w:rPr>
                <w:sz w:val="18"/>
              </w:rPr>
              <w:t xml:space="preserve">Colorectal</w:t>
            </w:r>
          </w:p>
        </w:tc>
        <w:tc>
          <w:tcPr/>
          <w:p>
            <w:pPr>
              <w:jc w:val="left"/>
            </w:pPr>
            <w:r>
              <w:rPr>
                <w:sz w:val="18"/>
              </w:rPr>
              <w:t xml:space="preserve">2G</w:t>
            </w:r>
          </w:p>
        </w:tc>
        <w:tc>
          <w:tcPr/>
          <w:p>
            <w:pPr>
              <w:jc w:val="left"/>
            </w:pPr>
            <w:r>
              <w:rPr>
                <w:sz w:val="18"/>
              </w:rPr>
              <w:t xml:space="preserve">CD28</w:t>
            </w:r>
          </w:p>
        </w:tc>
        <w:tc>
          <w:tcPr/>
          <w:p>
            <w:pPr>
              <w:jc w:val="left"/>
            </w:pPr>
            <w:r>
              <w:rPr>
                <w:sz w:val="18"/>
              </w:rPr>
              <w:t xml:space="preserve">Yes (IL-15)</w:t>
            </w:r>
          </w:p>
        </w:tc>
        <w:tc>
          <w:tcPr/>
          <w:p>
            <w:pPr>
              <w:jc w:val="left"/>
            </w:pPr>
            <w:r>
              <w:rPr>
                <w:sz w:val="18"/>
              </w:rPr>
              <w:t xml:space="preserve">40%</w:t>
            </w:r>
          </w:p>
        </w:tc>
      </w:tr>
      <w:tr>
        <w:tc>
          <w:tcPr/>
          <w:p>
            <w:pPr>
              <w:jc w:val="left"/>
            </w:pPr>
            <w:r>
              <w:rPr>
                <w:sz w:val="18"/>
              </w:rPr>
              <w:t xml:space="preserve">Narayan (PSMA)</w:t>
            </w:r>
          </w:p>
        </w:tc>
        <w:tc>
          <w:tcPr/>
          <w:p>
            <w:pPr>
              <w:jc w:val="left"/>
            </w:pPr>
            <w:r>
              <w:rPr>
                <w:sz w:val="18"/>
              </w:rPr>
              <w:t xml:space="preserve">2022</w:t>
            </w:r>
          </w:p>
        </w:tc>
        <w:tc>
          <w:tcPr/>
          <w:p>
            <w:pPr>
              <w:jc w:val="left"/>
            </w:pPr>
            <w:r>
              <w:rPr>
                <w:sz w:val="18"/>
              </w:rPr>
              <w:t xml:space="preserve">USA</w:t>
            </w:r>
          </w:p>
        </w:tc>
        <w:tc>
          <w:tcPr/>
          <w:p>
            <w:pPr>
              <w:jc w:val="left"/>
            </w:pPr>
            <w:r>
              <w:rPr>
                <w:sz w:val="18"/>
              </w:rPr>
              <w:t xml:space="preserve">11</w:t>
            </w:r>
          </w:p>
        </w:tc>
        <w:tc>
          <w:tcPr/>
          <w:p>
            <w:pPr>
              <w:jc w:val="left"/>
            </w:pPr>
            <w:r>
              <w:rPr>
                <w:sz w:val="18"/>
              </w:rPr>
              <w:t xml:space="preserve">PSMA</w:t>
            </w:r>
          </w:p>
        </w:tc>
        <w:tc>
          <w:tcPr/>
          <w:p>
            <w:pPr>
              <w:jc w:val="left"/>
            </w:pPr>
            <w:r>
              <w:rPr>
                <w:sz w:val="18"/>
              </w:rPr>
              <w:t xml:space="preserve">Prostate</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Yes (dnTGFbR)</w:t>
            </w:r>
          </w:p>
        </w:tc>
        <w:tc>
          <w:tcPr/>
          <w:p>
            <w:pPr>
              <w:jc w:val="left"/>
            </w:pPr>
            <w:r>
              <w:rPr>
                <w:sz w:val="18"/>
              </w:rPr>
              <w:t xml:space="preserve">27%</w:t>
            </w:r>
          </w:p>
        </w:tc>
      </w:tr>
      <w:tr>
        <w:tc>
          <w:tcPr/>
          <w:p>
            <w:pPr>
              <w:jc w:val="left"/>
            </w:pPr>
            <w:r>
              <w:rPr>
                <w:sz w:val="18"/>
              </w:rPr>
              <w:t xml:space="preserve">Wang (MSLN)</w:t>
            </w:r>
          </w:p>
        </w:tc>
        <w:tc>
          <w:tcPr/>
          <w:p>
            <w:pPr>
              <w:jc w:val="left"/>
            </w:pPr>
            <w:r>
              <w:rPr>
                <w:sz w:val="18"/>
              </w:rPr>
              <w:t xml:space="preserve">2021</w:t>
            </w:r>
          </w:p>
        </w:tc>
        <w:tc>
          <w:tcPr/>
          <w:p>
            <w:pPr>
              <w:jc w:val="left"/>
            </w:pPr>
            <w:r>
              <w:rPr>
                <w:sz w:val="18"/>
              </w:rPr>
              <w:t xml:space="preserve">China</w:t>
            </w:r>
          </w:p>
        </w:tc>
        <w:tc>
          <w:tcPr/>
          <w:p>
            <w:pPr>
              <w:jc w:val="left"/>
            </w:pPr>
            <w:r>
              <w:rPr>
                <w:sz w:val="18"/>
              </w:rPr>
              <w:t xml:space="preserve">10</w:t>
            </w:r>
          </w:p>
        </w:tc>
        <w:tc>
          <w:tcPr/>
          <w:p>
            <w:pPr>
              <w:jc w:val="left"/>
            </w:pPr>
            <w:r>
              <w:rPr>
                <w:sz w:val="18"/>
              </w:rPr>
              <w:t xml:space="preserve">MSLN</w:t>
            </w:r>
          </w:p>
        </w:tc>
        <w:tc>
          <w:tcPr/>
          <w:p>
            <w:pPr>
              <w:jc w:val="left"/>
            </w:pPr>
            <w:r>
              <w:rPr>
                <w:sz w:val="18"/>
              </w:rPr>
              <w:t xml:space="preserve">Solid tumors</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Yes (PD-1 KO)</w:t>
            </w:r>
          </w:p>
        </w:tc>
        <w:tc>
          <w:tcPr/>
          <w:p>
            <w:pPr>
              <w:jc w:val="left"/>
            </w:pPr>
            <w:r>
              <w:rPr>
                <w:sz w:val="18"/>
              </w:rPr>
              <w:t xml:space="preserve">0%</w:t>
            </w:r>
          </w:p>
        </w:tc>
      </w:tr>
      <w:tr>
        <w:tc>
          <w:tcPr/>
          <w:p>
            <w:pPr>
              <w:jc w:val="left"/>
            </w:pPr>
            <w:r>
              <w:rPr>
                <w:sz w:val="18"/>
              </w:rPr>
              <w:t xml:space="preserve">Qi (CLDN18.2)</w:t>
            </w:r>
          </w:p>
        </w:tc>
        <w:tc>
          <w:tcPr/>
          <w:p>
            <w:pPr>
              <w:jc w:val="left"/>
            </w:pPr>
            <w:r>
              <w:rPr>
                <w:sz w:val="18"/>
              </w:rPr>
              <w:t xml:space="preserve">2022</w:t>
            </w:r>
          </w:p>
        </w:tc>
        <w:tc>
          <w:tcPr/>
          <w:p>
            <w:pPr>
              <w:jc w:val="left"/>
            </w:pPr>
            <w:r>
              <w:rPr>
                <w:sz w:val="18"/>
              </w:rPr>
              <w:t xml:space="preserve">China</w:t>
            </w:r>
          </w:p>
        </w:tc>
        <w:tc>
          <w:tcPr/>
          <w:p>
            <w:pPr>
              <w:jc w:val="left"/>
            </w:pPr>
            <w:r>
              <w:rPr>
                <w:sz w:val="18"/>
              </w:rPr>
              <w:t xml:space="preserve">37</w:t>
            </w:r>
          </w:p>
        </w:tc>
        <w:tc>
          <w:tcPr/>
          <w:p>
            <w:pPr>
              <w:jc w:val="left"/>
            </w:pPr>
            <w:r>
              <w:rPr>
                <w:sz w:val="18"/>
              </w:rPr>
              <w:t xml:space="preserve">CLDN18.2</w:t>
            </w:r>
          </w:p>
        </w:tc>
        <w:tc>
          <w:tcPr/>
          <w:p>
            <w:pPr>
              <w:jc w:val="left"/>
            </w:pPr>
            <w:r>
              <w:rPr>
                <w:sz w:val="18"/>
              </w:rPr>
              <w:t xml:space="preserve">Gastric/GEJ</w:t>
            </w:r>
          </w:p>
        </w:tc>
        <w:tc>
          <w:tcPr/>
          <w:p>
            <w:pPr>
              <w:jc w:val="left"/>
            </w:pPr>
            <w:r>
              <w:rPr>
                <w:sz w:val="18"/>
              </w:rPr>
              <w:t xml:space="preserve">2G</w:t>
            </w:r>
          </w:p>
        </w:tc>
        <w:tc>
          <w:tcPr/>
          <w:p>
            <w:pPr>
              <w:jc w:val="left"/>
            </w:pPr>
            <w:r>
              <w:rPr>
                <w:sz w:val="18"/>
              </w:rPr>
              <w:t xml:space="preserve">4-1BB</w:t>
            </w:r>
          </w:p>
        </w:tc>
        <w:tc>
          <w:tcPr/>
          <w:p>
            <w:pPr>
              <w:jc w:val="left"/>
            </w:pPr>
            <w:r>
              <w:rPr>
                <w:sz w:val="18"/>
              </w:rPr>
              <w:t xml:space="preserve">No</w:t>
            </w:r>
          </w:p>
        </w:tc>
        <w:tc>
          <w:tcPr/>
          <w:p>
            <w:pPr>
              <w:jc w:val="left"/>
            </w:pPr>
            <w:r>
              <w:rPr>
                <w:sz w:val="18"/>
              </w:rPr>
              <w:t xml:space="preserve">49%</w:t>
            </w:r>
          </w:p>
        </w:tc>
      </w:tr>
    </w:tbl>
    <w:p>
      <w:pPr>
        <w:spacing w:after="120"/>
      </w:pPr>
      <w:r>
        <w:rPr>
          <w:sz w:val="18"/>
        </w:rPr>
        <w:t xml:space="preserve">Note: All studies were single-arm phase I or I/II trials. Armored constructs incorporate cytokine secretion or checkpoint blockade mechanisms. 2G = second generation.</w:t>
      </w:r>
    </w:p>
    <w:p>
      <w:pPr>
        <w:pStyle w:val="Heading2"/>
      </w:pPr>
      <w:r>
        <w:t xml:space="preserve">Table 2. Target-Specific Objective Response Rates</w:t>
      </w:r>
    </w:p>
    <w:tbl>
      <w:tblPr>
        <w:tblW w:w="5000" w:type="pct"/>
        <w:tblBorders>
          <w:top w:val="single" w:color="000000" w:sz="8"/>
          <w:left w:val="single" w:color="000000" w:sz="8"/>
          <w:bottom w:val="single" w:color="000000" w:sz="8"/>
          <w:right w:val="single" w:color="000000" w:sz="8"/>
          <w:insideH w:val="single" w:color="000000" w:sz="4"/>
          <w:insideV w:val="single" w:color="000000" w:sz="4"/>
        </w:tblBorders>
      </w:tblPr>
      <w:tblGrid>
        <w:gridCol w:w="1200"/>
        <w:gridCol w:w="1200"/>
        <w:gridCol w:w="600"/>
        <w:gridCol w:w="600"/>
        <w:gridCol w:w="800"/>
        <w:gridCol w:w="1000"/>
        <w:gridCol w:w="1600"/>
      </w:tblGrid>
      <w:tr>
        <w:tc>
          <w:tcPr>
            <w:shd w:val="clear" w:fill="E0E0E0"/>
          </w:tcPr>
          <w:p>
            <w:pPr>
              <w:jc w:val="center"/>
            </w:pPr>
            <w:r>
              <w:rPr>
                <w:b/>
                <w:sz w:val="18"/>
              </w:rPr>
              <w:t xml:space="preserve">Target</w:t>
            </w:r>
          </w:p>
        </w:tc>
        <w:tc>
          <w:tcPr>
            <w:shd w:val="clear" w:fill="E0E0E0"/>
          </w:tcPr>
          <w:p>
            <w:pPr>
              <w:jc w:val="center"/>
            </w:pPr>
            <w:r>
              <w:rPr>
                <w:b/>
                <w:sz w:val="18"/>
              </w:rPr>
              <w:t xml:space="preserve">Tumor Type</w:t>
            </w:r>
          </w:p>
        </w:tc>
        <w:tc>
          <w:tcPr>
            <w:shd w:val="clear" w:fill="E0E0E0"/>
          </w:tcPr>
          <w:p>
            <w:pPr>
              <w:jc w:val="center"/>
            </w:pPr>
            <w:r>
              <w:rPr>
                <w:b/>
                <w:sz w:val="18"/>
              </w:rPr>
              <w:t xml:space="preserve">k</w:t>
            </w:r>
          </w:p>
        </w:tc>
        <w:tc>
          <w:tcPr>
            <w:shd w:val="clear" w:fill="E0E0E0"/>
          </w:tcPr>
          <w:p>
            <w:pPr>
              <w:jc w:val="center"/>
            </w:pPr>
            <w:r>
              <w:rPr>
                <w:b/>
                <w:sz w:val="18"/>
              </w:rPr>
              <w:t xml:space="preserve">N</w:t>
            </w:r>
          </w:p>
        </w:tc>
        <w:tc>
          <w:tcPr>
            <w:shd w:val="clear" w:fill="E0E0E0"/>
          </w:tcPr>
          <w:p>
            <w:pPr>
              <w:jc w:val="center"/>
            </w:pPr>
            <w:r>
              <w:rPr>
                <w:b/>
                <w:sz w:val="18"/>
              </w:rPr>
              <w:t xml:space="preserve">Events</w:t>
            </w:r>
          </w:p>
        </w:tc>
        <w:tc>
          <w:tcPr>
            <w:shd w:val="clear" w:fill="E0E0E0"/>
          </w:tcPr>
          <w:p>
            <w:pPr>
              <w:jc w:val="center"/>
            </w:pPr>
            <w:r>
              <w:rPr>
                <w:b/>
                <w:sz w:val="18"/>
              </w:rPr>
              <w:t xml:space="preserve">ORR %</w:t>
            </w:r>
          </w:p>
        </w:tc>
        <w:tc>
          <w:tcPr>
            <w:shd w:val="clear" w:fill="E0E0E0"/>
          </w:tcPr>
          <w:p>
            <w:pPr>
              <w:jc w:val="center"/>
            </w:pPr>
            <w:r>
              <w:rPr>
                <w:b/>
                <w:sz w:val="18"/>
              </w:rPr>
              <w:t xml:space="preserve">95% CI</w:t>
            </w:r>
          </w:p>
        </w:tc>
      </w:tr>
      <w:tr>
        <w:tc>
          <w:tcPr/>
          <w:p>
            <w:pPr>
              <w:jc w:val="left"/>
            </w:pPr>
            <w:r>
              <w:rPr>
                <w:sz w:val="18"/>
              </w:rPr>
              <w:t xml:space="preserve">CLDN18.2</w:t>
            </w:r>
          </w:p>
        </w:tc>
        <w:tc>
          <w:tcPr/>
          <w:p>
            <w:pPr>
              <w:jc w:val="left"/>
            </w:pPr>
            <w:r>
              <w:rPr>
                <w:sz w:val="18"/>
              </w:rPr>
              <w:t xml:space="preserve">Gastric/GEJ</w:t>
            </w:r>
          </w:p>
        </w:tc>
        <w:tc>
          <w:tcPr/>
          <w:p>
            <w:pPr>
              <w:jc w:val="left"/>
            </w:pPr>
            <w:r>
              <w:rPr>
                <w:sz w:val="18"/>
              </w:rPr>
              <w:t xml:space="preserve">1</w:t>
            </w:r>
          </w:p>
        </w:tc>
        <w:tc>
          <w:tcPr/>
          <w:p>
            <w:pPr>
              <w:jc w:val="left"/>
            </w:pPr>
            <w:r>
              <w:rPr>
                <w:sz w:val="18"/>
              </w:rPr>
              <w:t xml:space="preserve">37</w:t>
            </w:r>
          </w:p>
        </w:tc>
        <w:tc>
          <w:tcPr/>
          <w:p>
            <w:pPr>
              <w:jc w:val="left"/>
            </w:pPr>
            <w:r>
              <w:rPr>
                <w:sz w:val="18"/>
              </w:rPr>
              <w:t xml:space="preserve">18</w:t>
            </w:r>
          </w:p>
        </w:tc>
        <w:tc>
          <w:tcPr/>
          <w:p>
            <w:pPr>
              <w:jc w:val="left"/>
            </w:pPr>
            <w:r>
              <w:rPr>
                <w:sz w:val="18"/>
              </w:rPr>
              <w:t xml:space="preserve">48.6%</w:t>
            </w:r>
          </w:p>
        </w:tc>
        <w:tc>
          <w:tcPr/>
          <w:p>
            <w:pPr>
              <w:jc w:val="left"/>
            </w:pPr>
            <w:r>
              <w:rPr>
                <w:sz w:val="18"/>
              </w:rPr>
              <w:t xml:space="preserve">31.9-65.6%</w:t>
            </w:r>
          </w:p>
        </w:tc>
      </w:tr>
      <w:tr>
        <w:tc>
          <w:tcPr/>
          <w:p>
            <w:pPr>
              <w:jc w:val="left"/>
            </w:pPr>
            <w:r>
              <w:rPr>
                <w:sz w:val="18"/>
              </w:rPr>
              <w:t xml:space="preserve">GCC+CD19</w:t>
            </w:r>
          </w:p>
        </w:tc>
        <w:tc>
          <w:tcPr/>
          <w:p>
            <w:pPr>
              <w:jc w:val="left"/>
            </w:pPr>
            <w:r>
              <w:rPr>
                <w:sz w:val="18"/>
              </w:rPr>
              <w:t xml:space="preserve">Colorectal</w:t>
            </w:r>
          </w:p>
        </w:tc>
        <w:tc>
          <w:tcPr/>
          <w:p>
            <w:pPr>
              <w:jc w:val="left"/>
            </w:pPr>
            <w:r>
              <w:rPr>
                <w:sz w:val="18"/>
              </w:rPr>
              <w:t xml:space="preserve">1</w:t>
            </w:r>
          </w:p>
        </w:tc>
        <w:tc>
          <w:tcPr/>
          <w:p>
            <w:pPr>
              <w:jc w:val="left"/>
            </w:pPr>
            <w:r>
              <w:rPr>
                <w:sz w:val="18"/>
              </w:rPr>
              <w:t xml:space="preserve">15</w:t>
            </w:r>
          </w:p>
        </w:tc>
        <w:tc>
          <w:tcPr/>
          <w:p>
            <w:pPr>
              <w:jc w:val="left"/>
            </w:pPr>
            <w:r>
              <w:rPr>
                <w:sz w:val="18"/>
              </w:rPr>
              <w:t xml:space="preserve">6</w:t>
            </w:r>
          </w:p>
        </w:tc>
        <w:tc>
          <w:tcPr/>
          <w:p>
            <w:pPr>
              <w:jc w:val="left"/>
            </w:pPr>
            <w:r>
              <w:rPr>
                <w:sz w:val="18"/>
              </w:rPr>
              <w:t xml:space="preserve">40.0%</w:t>
            </w:r>
          </w:p>
        </w:tc>
        <w:tc>
          <w:tcPr/>
          <w:p>
            <w:pPr>
              <w:jc w:val="left"/>
            </w:pPr>
            <w:r>
              <w:rPr>
                <w:sz w:val="18"/>
              </w:rPr>
              <w:t xml:space="preserve">16.3-67.7%</w:t>
            </w:r>
          </w:p>
        </w:tc>
      </w:tr>
      <w:tr>
        <w:tc>
          <w:tcPr/>
          <w:p>
            <w:pPr>
              <w:jc w:val="left"/>
            </w:pPr>
            <w:r>
              <w:rPr>
                <w:sz w:val="18"/>
              </w:rPr>
              <w:t xml:space="preserve">GPC3</w:t>
            </w:r>
          </w:p>
        </w:tc>
        <w:tc>
          <w:tcPr/>
          <w:p>
            <w:pPr>
              <w:jc w:val="left"/>
            </w:pPr>
            <w:r>
              <w:rPr>
                <w:sz w:val="18"/>
              </w:rPr>
              <w:t xml:space="preserve">Hepatocellular</w:t>
            </w:r>
          </w:p>
        </w:tc>
        <w:tc>
          <w:tcPr/>
          <w:p>
            <w:pPr>
              <w:jc w:val="left"/>
            </w:pPr>
            <w:r>
              <w:rPr>
                <w:sz w:val="18"/>
              </w:rPr>
              <w:t xml:space="preserve">2</w:t>
            </w:r>
          </w:p>
        </w:tc>
        <w:tc>
          <w:tcPr/>
          <w:p>
            <w:pPr>
              <w:jc w:val="left"/>
            </w:pPr>
            <w:r>
              <w:rPr>
                <w:sz w:val="18"/>
              </w:rPr>
              <w:t xml:space="preserve">43</w:t>
            </w:r>
          </w:p>
        </w:tc>
        <w:tc>
          <w:tcPr/>
          <w:p>
            <w:pPr>
              <w:jc w:val="left"/>
            </w:pPr>
            <w:r>
              <w:rPr>
                <w:sz w:val="18"/>
              </w:rPr>
              <w:t xml:space="preserve">12</w:t>
            </w:r>
          </w:p>
        </w:tc>
        <w:tc>
          <w:tcPr/>
          <w:p>
            <w:pPr>
              <w:jc w:val="left"/>
            </w:pPr>
            <w:r>
              <w:rPr>
                <w:sz w:val="18"/>
              </w:rPr>
              <w:t xml:space="preserve">27.9%</w:t>
            </w:r>
          </w:p>
        </w:tc>
        <w:tc>
          <w:tcPr/>
          <w:p>
            <w:pPr>
              <w:jc w:val="left"/>
            </w:pPr>
            <w:r>
              <w:rPr>
                <w:sz w:val="18"/>
              </w:rPr>
              <w:t xml:space="preserve">15.3-43.0%</w:t>
            </w:r>
          </w:p>
        </w:tc>
      </w:tr>
      <w:tr>
        <w:tc>
          <w:tcPr/>
          <w:p>
            <w:pPr>
              <w:jc w:val="left"/>
            </w:pPr>
            <w:r>
              <w:rPr>
                <w:sz w:val="18"/>
              </w:rPr>
              <w:t xml:space="preserve">PSMA</w:t>
            </w:r>
          </w:p>
        </w:tc>
        <w:tc>
          <w:tcPr/>
          <w:p>
            <w:pPr>
              <w:jc w:val="left"/>
            </w:pPr>
            <w:r>
              <w:rPr>
                <w:sz w:val="18"/>
              </w:rPr>
              <w:t xml:space="preserve">Prostate</w:t>
            </w:r>
          </w:p>
        </w:tc>
        <w:tc>
          <w:tcPr/>
          <w:p>
            <w:pPr>
              <w:jc w:val="left"/>
            </w:pPr>
            <w:r>
              <w:rPr>
                <w:sz w:val="18"/>
              </w:rPr>
              <w:t xml:space="preserve">2</w:t>
            </w:r>
          </w:p>
        </w:tc>
        <w:tc>
          <w:tcPr/>
          <w:p>
            <w:pPr>
              <w:jc w:val="left"/>
            </w:pPr>
            <w:r>
              <w:rPr>
                <w:sz w:val="18"/>
              </w:rPr>
              <w:t xml:space="preserve">18</w:t>
            </w:r>
          </w:p>
        </w:tc>
        <w:tc>
          <w:tcPr/>
          <w:p>
            <w:pPr>
              <w:jc w:val="left"/>
            </w:pPr>
            <w:r>
              <w:rPr>
                <w:sz w:val="18"/>
              </w:rPr>
              <w:t xml:space="preserve">5</w:t>
            </w:r>
          </w:p>
        </w:tc>
        <w:tc>
          <w:tcPr/>
          <w:p>
            <w:pPr>
              <w:jc w:val="left"/>
            </w:pPr>
            <w:r>
              <w:rPr>
                <w:sz w:val="18"/>
              </w:rPr>
              <w:t xml:space="preserve">27.8%</w:t>
            </w:r>
          </w:p>
        </w:tc>
        <w:tc>
          <w:tcPr/>
          <w:p>
            <w:pPr>
              <w:jc w:val="left"/>
            </w:pPr>
            <w:r>
              <w:rPr>
                <w:sz w:val="18"/>
              </w:rPr>
              <w:t xml:space="preserve">8.5-57.8%</w:t>
            </w:r>
          </w:p>
        </w:tc>
      </w:tr>
      <w:tr>
        <w:tc>
          <w:tcPr/>
          <w:p>
            <w:pPr>
              <w:jc w:val="left"/>
            </w:pPr>
            <w:r>
              <w:rPr>
                <w:sz w:val="18"/>
              </w:rPr>
              <w:t xml:space="preserve">MSLN</w:t>
            </w:r>
          </w:p>
        </w:tc>
        <w:tc>
          <w:tcPr/>
          <w:p>
            <w:pPr>
              <w:jc w:val="left"/>
            </w:pPr>
            <w:r>
              <w:rPr>
                <w:sz w:val="18"/>
              </w:rPr>
              <w:t xml:space="preserve">Pancreas/Meso</w:t>
            </w:r>
          </w:p>
        </w:tc>
        <w:tc>
          <w:tcPr/>
          <w:p>
            <w:pPr>
              <w:jc w:val="left"/>
            </w:pPr>
            <w:r>
              <w:rPr>
                <w:sz w:val="18"/>
              </w:rPr>
              <w:t xml:space="preserve">2</w:t>
            </w:r>
          </w:p>
        </w:tc>
        <w:tc>
          <w:tcPr/>
          <w:p>
            <w:pPr>
              <w:jc w:val="left"/>
            </w:pPr>
            <w:r>
              <w:rPr>
                <w:sz w:val="18"/>
              </w:rPr>
              <w:t xml:space="preserve">30</w:t>
            </w:r>
          </w:p>
        </w:tc>
        <w:tc>
          <w:tcPr/>
          <w:p>
            <w:pPr>
              <w:jc w:val="left"/>
            </w:pPr>
            <w:r>
              <w:rPr>
                <w:sz w:val="18"/>
              </w:rPr>
              <w:t xml:space="preserve">0</w:t>
            </w:r>
          </w:p>
        </w:tc>
        <w:tc>
          <w:tcPr/>
          <w:p>
            <w:pPr>
              <w:jc w:val="left"/>
            </w:pPr>
            <w:r>
              <w:rPr>
                <w:sz w:val="18"/>
              </w:rPr>
              <w:t xml:space="preserve">0%</w:t>
            </w:r>
          </w:p>
        </w:tc>
        <w:tc>
          <w:tcPr/>
          <w:p>
            <w:pPr>
              <w:jc w:val="left"/>
            </w:pPr>
            <w:r>
              <w:rPr>
                <w:sz w:val="18"/>
              </w:rPr>
              <w:t xml:space="preserve">0-11.6%</w:t>
            </w:r>
          </w:p>
        </w:tc>
      </w:tr>
      <w:tr>
        <w:tc>
          <w:tcPr/>
          <w:p>
            <w:pPr>
              <w:jc w:val="left"/>
            </w:pPr>
            <w:r>
              <w:rPr>
                <w:sz w:val="18"/>
              </w:rPr>
              <w:t xml:space="preserve">HER2</w:t>
            </w:r>
          </w:p>
        </w:tc>
        <w:tc>
          <w:tcPr/>
          <w:p>
            <w:pPr>
              <w:jc w:val="left"/>
            </w:pPr>
            <w:r>
              <w:rPr>
                <w:sz w:val="18"/>
              </w:rPr>
              <w:t xml:space="preserve">Sarcoma</w:t>
            </w:r>
          </w:p>
        </w:tc>
        <w:tc>
          <w:tcPr/>
          <w:p>
            <w:pPr>
              <w:jc w:val="left"/>
            </w:pPr>
            <w:r>
              <w:rPr>
                <w:sz w:val="18"/>
              </w:rPr>
              <w:t xml:space="preserve">1</w:t>
            </w:r>
          </w:p>
        </w:tc>
        <w:tc>
          <w:tcPr/>
          <w:p>
            <w:pPr>
              <w:jc w:val="left"/>
            </w:pPr>
            <w:r>
              <w:rPr>
                <w:sz w:val="18"/>
              </w:rPr>
              <w:t xml:space="preserve">10</w:t>
            </w:r>
          </w:p>
        </w:tc>
        <w:tc>
          <w:tcPr/>
          <w:p>
            <w:pPr>
              <w:jc w:val="left"/>
            </w:pPr>
            <w:r>
              <w:rPr>
                <w:sz w:val="18"/>
              </w:rPr>
              <w:t xml:space="preserve">0</w:t>
            </w:r>
          </w:p>
        </w:tc>
        <w:tc>
          <w:tcPr/>
          <w:p>
            <w:pPr>
              <w:jc w:val="left"/>
            </w:pPr>
            <w:r>
              <w:rPr>
                <w:sz w:val="18"/>
              </w:rPr>
              <w:t xml:space="preserve">0%</w:t>
            </w:r>
          </w:p>
        </w:tc>
        <w:tc>
          <w:tcPr/>
          <w:p>
            <w:pPr>
              <w:jc w:val="left"/>
            </w:pPr>
            <w:r>
              <w:rPr>
                <w:sz w:val="18"/>
              </w:rPr>
              <w:t xml:space="preserve">0-30.8%</w:t>
            </w:r>
          </w:p>
        </w:tc>
      </w:tr>
      <w:tr>
        <w:tc>
          <w:tcPr/>
          <w:p>
            <w:pPr>
              <w:jc w:val="left"/>
            </w:pPr>
            <w:r>
              <w:rPr>
                <w:sz w:val="18"/>
              </w:rPr>
              <w:t xml:space="preserve">CEA</w:t>
            </w:r>
          </w:p>
        </w:tc>
        <w:tc>
          <w:tcPr/>
          <w:p>
            <w:pPr>
              <w:jc w:val="left"/>
            </w:pPr>
            <w:r>
              <w:rPr>
                <w:sz w:val="18"/>
              </w:rPr>
              <w:t xml:space="preserve">Colorectal (liver)</w:t>
            </w:r>
          </w:p>
        </w:tc>
        <w:tc>
          <w:tcPr/>
          <w:p>
            <w:pPr>
              <w:jc w:val="left"/>
            </w:pPr>
            <w:r>
              <w:rPr>
                <w:sz w:val="18"/>
              </w:rPr>
              <w:t xml:space="preserve">1</w:t>
            </w:r>
          </w:p>
        </w:tc>
        <w:tc>
          <w:tcPr/>
          <w:p>
            <w:pPr>
              <w:jc w:val="left"/>
            </w:pPr>
            <w:r>
              <w:rPr>
                <w:sz w:val="18"/>
              </w:rPr>
              <w:t xml:space="preserve">10</w:t>
            </w:r>
          </w:p>
        </w:tc>
        <w:tc>
          <w:tcPr/>
          <w:p>
            <w:pPr>
              <w:jc w:val="left"/>
            </w:pPr>
            <w:r>
              <w:rPr>
                <w:sz w:val="18"/>
              </w:rPr>
              <w:t xml:space="preserve">0</w:t>
            </w:r>
          </w:p>
        </w:tc>
        <w:tc>
          <w:tcPr/>
          <w:p>
            <w:pPr>
              <w:jc w:val="left"/>
            </w:pPr>
            <w:r>
              <w:rPr>
                <w:sz w:val="18"/>
              </w:rPr>
              <w:t xml:space="preserve">0%</w:t>
            </w:r>
          </w:p>
        </w:tc>
        <w:tc>
          <w:tcPr/>
          <w:p>
            <w:pPr>
              <w:jc w:val="left"/>
            </w:pPr>
            <w:r>
              <w:rPr>
                <w:sz w:val="18"/>
              </w:rPr>
              <w:t xml:space="preserve">0-30.8%</w:t>
            </w:r>
          </w:p>
        </w:tc>
      </w:tr>
      <w:tr>
        <w:tc>
          <w:tcPr/>
          <w:p>
            <w:pPr>
              <w:jc w:val="left"/>
            </w:pPr>
            <w:r>
              <w:rPr>
                <w:sz w:val="18"/>
              </w:rPr>
              <w:t xml:space="preserve">TAG-72</w:t>
            </w:r>
          </w:p>
        </w:tc>
        <w:tc>
          <w:tcPr/>
          <w:p>
            <w:pPr>
              <w:jc w:val="left"/>
            </w:pPr>
            <w:r>
              <w:rPr>
                <w:sz w:val="18"/>
              </w:rPr>
              <w:t xml:space="preserve">Colorectal</w:t>
            </w:r>
          </w:p>
        </w:tc>
        <w:tc>
          <w:tcPr/>
          <w:p>
            <w:pPr>
              <w:jc w:val="left"/>
            </w:pPr>
            <w:r>
              <w:rPr>
                <w:sz w:val="18"/>
              </w:rPr>
              <w:t xml:space="preserve">1</w:t>
            </w:r>
          </w:p>
        </w:tc>
        <w:tc>
          <w:tcPr/>
          <w:p>
            <w:pPr>
              <w:jc w:val="left"/>
            </w:pPr>
            <w:r>
              <w:rPr>
                <w:sz w:val="18"/>
              </w:rPr>
              <w:t xml:space="preserve">16</w:t>
            </w:r>
          </w:p>
        </w:tc>
        <w:tc>
          <w:tcPr/>
          <w:p>
            <w:pPr>
              <w:jc w:val="left"/>
            </w:pPr>
            <w:r>
              <w:rPr>
                <w:sz w:val="18"/>
              </w:rPr>
              <w:t xml:space="preserve">0</w:t>
            </w:r>
          </w:p>
        </w:tc>
        <w:tc>
          <w:tcPr/>
          <w:p>
            <w:pPr>
              <w:jc w:val="left"/>
            </w:pPr>
            <w:r>
              <w:rPr>
                <w:sz w:val="18"/>
              </w:rPr>
              <w:t xml:space="preserve">0%</w:t>
            </w:r>
          </w:p>
        </w:tc>
        <w:tc>
          <w:tcPr/>
          <w:p>
            <w:pPr>
              <w:jc w:val="left"/>
            </w:pPr>
            <w:r>
              <w:rPr>
                <w:sz w:val="18"/>
              </w:rPr>
              <w:t xml:space="preserve">0-20.6%</w:t>
            </w:r>
          </w:p>
        </w:tc>
      </w:tr>
      <w:tr>
        <w:tc>
          <w:tcPr/>
          <w:p>
            <w:pPr>
              <w:jc w:val="left"/>
            </w:pPr>
            <w:r>
              <w:rPr>
                <w:b/>
                <w:sz w:val="18"/>
              </w:rPr>
              <w:t xml:space="preserve">Pooled (all targets)</w:t>
            </w:r>
          </w:p>
        </w:tc>
        <w:tc>
          <w:tcPr/>
          <w:p>
            <w:pPr>
              <w:jc w:val="left"/>
            </w:pPr>
            <w:r>
              <w:rPr>
                <w:b/>
                <w:sz w:val="18"/>
              </w:rPr>
              <w:t xml:space="preserve">Mixed</w:t>
            </w:r>
          </w:p>
        </w:tc>
        <w:tc>
          <w:tcPr/>
          <w:p>
            <w:pPr>
              <w:jc w:val="center"/>
            </w:pPr>
            <w:r>
              <w:rPr>
                <w:b/>
                <w:sz w:val="18"/>
              </w:rPr>
              <w:t xml:space="preserve">13</w:t>
            </w:r>
          </w:p>
        </w:tc>
        <w:tc>
          <w:tcPr/>
          <w:p>
            <w:pPr>
              <w:jc w:val="center"/>
            </w:pPr>
            <w:r>
              <w:rPr>
                <w:b/>
                <w:sz w:val="18"/>
              </w:rPr>
              <w:t xml:space="preserve">201</w:t>
            </w:r>
          </w:p>
        </w:tc>
        <w:tc>
          <w:tcPr/>
          <w:p>
            <w:pPr>
              <w:jc w:val="center"/>
            </w:pPr>
            <w:r>
              <w:rPr>
                <w:b/>
                <w:sz w:val="18"/>
              </w:rPr>
              <w:t xml:space="preserve">42</w:t>
            </w:r>
          </w:p>
        </w:tc>
        <w:tc>
          <w:tcPr/>
          <w:p>
            <w:pPr>
              <w:jc w:val="center"/>
            </w:pPr>
            <w:r>
              <w:rPr>
                <w:b/>
                <w:sz w:val="18"/>
              </w:rPr>
              <w:t xml:space="preserve">19.8%</w:t>
            </w:r>
          </w:p>
        </w:tc>
        <w:tc>
          <w:tcPr/>
          <w:p>
            <w:pPr>
              <w:jc w:val="left"/>
            </w:pPr>
            <w:r>
              <w:rPr>
                <w:b/>
                <w:sz w:val="18"/>
              </w:rPr>
              <w:t xml:space="preserve">10.4-34.4%</w:t>
            </w:r>
          </w:p>
        </w:tc>
      </w:tr>
    </w:tbl>
    <w:p>
      <w:pPr>
        <w:spacing w:after="120"/>
      </w:pPr>
      <w:r>
        <w:rPr>
          <w:sz w:val="18"/>
        </w:rPr>
        <w:t xml:space="preserve">Note: Each target was evaluated in a different tumor type; these are descriptive observations, not ranked efficacy estimates. CI = confidence interval.</w:t>
      </w:r>
    </w:p>
    <w:p>
      <w:pPr>
        <w:pStyle w:val="Heading2"/>
      </w:pPr>
      <w:r>
        <w:t xml:space="preserve">Table 3. Selected Ongoing CAR-T Trials in Solid Tumors</w:t>
      </w:r>
    </w:p>
    <w:tbl>
      <w:tblPr>
        <w:tblW w:w="5000" w:type="pct"/>
        <w:tblBorders>
          <w:top w:val="single" w:color="000000" w:sz="8"/>
          <w:left w:val="single" w:color="000000" w:sz="8"/>
          <w:bottom w:val="single" w:color="000000" w:sz="8"/>
          <w:right w:val="single" w:color="000000" w:sz="8"/>
          <w:insideH w:val="single" w:color="000000" w:sz="4"/>
          <w:insideV w:val="single" w:color="000000" w:sz="4"/>
        </w:tblBorders>
      </w:tblPr>
      <w:tblGrid>
        <w:gridCol w:w="1400"/>
        <w:gridCol w:w="1000"/>
        <w:gridCol w:w="700"/>
        <w:gridCol w:w="600"/>
        <w:gridCol w:w="1200"/>
        <w:gridCol w:w="1600"/>
      </w:tblGrid>
      <w:tr>
        <w:tc>
          <w:tcPr>
            <w:shd w:val="clear" w:fill="E0E0E0"/>
          </w:tcPr>
          <w:p>
            <w:pPr>
              <w:jc w:val="center"/>
            </w:pPr>
            <w:r>
              <w:rPr>
                <w:b/>
                <w:sz w:val="18"/>
              </w:rPr>
              <w:t xml:space="preserve">Trial (NCT)</w:t>
            </w:r>
          </w:p>
        </w:tc>
        <w:tc>
          <w:tcPr>
            <w:shd w:val="clear" w:fill="E0E0E0"/>
          </w:tcPr>
          <w:p>
            <w:pPr>
              <w:jc w:val="center"/>
            </w:pPr>
            <w:r>
              <w:rPr>
                <w:b/>
                <w:sz w:val="18"/>
              </w:rPr>
              <w:t xml:space="preserve">Target</w:t>
            </w:r>
          </w:p>
        </w:tc>
        <w:tc>
          <w:tcPr>
            <w:shd w:val="clear" w:fill="E0E0E0"/>
          </w:tcPr>
          <w:p>
            <w:pPr>
              <w:jc w:val="center"/>
            </w:pPr>
            <w:r>
              <w:rPr>
                <w:b/>
                <w:sz w:val="18"/>
              </w:rPr>
              <w:t xml:space="preserve">Phase</w:t>
            </w:r>
          </w:p>
        </w:tc>
        <w:tc>
          <w:tcPr>
            <w:shd w:val="clear" w:fill="E0E0E0"/>
          </w:tcPr>
          <w:p>
            <w:pPr>
              <w:jc w:val="center"/>
            </w:pPr>
            <w:r>
              <w:rPr>
                <w:b/>
                <w:sz w:val="18"/>
              </w:rPr>
              <w:t xml:space="preserve">N</w:t>
            </w:r>
          </w:p>
        </w:tc>
        <w:tc>
          <w:tcPr>
            <w:shd w:val="clear" w:fill="E0E0E0"/>
          </w:tcPr>
          <w:p>
            <w:pPr>
              <w:jc w:val="center"/>
            </w:pPr>
            <w:r>
              <w:rPr>
                <w:b/>
                <w:sz w:val="18"/>
              </w:rPr>
              <w:t xml:space="preserve">Tumor Type</w:t>
            </w:r>
          </w:p>
        </w:tc>
        <w:tc>
          <w:tcPr>
            <w:shd w:val="clear" w:fill="E0E0E0"/>
          </w:tcPr>
          <w:p>
            <w:pPr>
              <w:jc w:val="center"/>
            </w:pPr>
            <w:r>
              <w:rPr>
                <w:b/>
                <w:sz w:val="18"/>
              </w:rPr>
              <w:t xml:space="preserve">Primary Endpoint</w:t>
            </w:r>
          </w:p>
        </w:tc>
      </w:tr>
      <w:tr>
        <w:tc>
          <w:tcPr/>
          <w:p>
            <w:pPr>
              <w:jc w:val="left"/>
            </w:pPr>
            <w:r>
              <w:rPr>
                <w:sz w:val="18"/>
              </w:rPr>
              <w:t xml:space="preserve">NCT04581473</w:t>
            </w:r>
          </w:p>
        </w:tc>
        <w:tc>
          <w:tcPr/>
          <w:p>
            <w:pPr>
              <w:jc w:val="left"/>
            </w:pPr>
            <w:r>
              <w:rPr>
                <w:sz w:val="18"/>
              </w:rPr>
              <w:t xml:space="preserve">CLDN18.2</w:t>
            </w:r>
          </w:p>
        </w:tc>
        <w:tc>
          <w:tcPr/>
          <w:p>
            <w:pPr>
              <w:jc w:val="left"/>
            </w:pPr>
            <w:r>
              <w:rPr>
                <w:sz w:val="18"/>
              </w:rPr>
              <w:t xml:space="preserve">2</w:t>
            </w:r>
          </w:p>
        </w:tc>
        <w:tc>
          <w:tcPr/>
          <w:p>
            <w:pPr>
              <w:jc w:val="left"/>
            </w:pPr>
            <w:r>
              <w:rPr>
                <w:sz w:val="18"/>
              </w:rPr>
              <w:t xml:space="preserve">156</w:t>
            </w:r>
          </w:p>
        </w:tc>
        <w:tc>
          <w:tcPr/>
          <w:p>
            <w:pPr>
              <w:jc w:val="left"/>
            </w:pPr>
            <w:r>
              <w:rPr>
                <w:sz w:val="18"/>
              </w:rPr>
              <w:t xml:space="preserve">Gastric/GEJ</w:t>
            </w:r>
          </w:p>
        </w:tc>
        <w:tc>
          <w:tcPr/>
          <w:p>
            <w:pPr>
              <w:jc w:val="left"/>
            </w:pPr>
            <w:r>
              <w:rPr>
                <w:sz w:val="18"/>
              </w:rPr>
              <w:t xml:space="preserve">PFS (completed)</w:t>
            </w:r>
          </w:p>
        </w:tc>
      </w:tr>
      <w:tr>
        <w:tc>
          <w:tcPr/>
          <w:p>
            <w:pPr>
              <w:jc w:val="left"/>
            </w:pPr>
            <w:r>
              <w:rPr>
                <w:sz w:val="18"/>
              </w:rPr>
              <w:t xml:space="preserve">NCT04404595</w:t>
            </w:r>
          </w:p>
        </w:tc>
        <w:tc>
          <w:tcPr/>
          <w:p>
            <w:pPr>
              <w:jc w:val="left"/>
            </w:pPr>
            <w:r>
              <w:rPr>
                <w:sz w:val="18"/>
              </w:rPr>
              <w:t xml:space="preserve">CLDN18.2</w:t>
            </w:r>
          </w:p>
        </w:tc>
        <w:tc>
          <w:tcPr/>
          <w:p>
            <w:pPr>
              <w:jc w:val="left"/>
            </w:pPr>
            <w:r>
              <w:rPr>
                <w:sz w:val="18"/>
              </w:rPr>
              <w:t xml:space="preserve">1</w:t>
            </w:r>
          </w:p>
        </w:tc>
        <w:tc>
          <w:tcPr/>
          <w:p>
            <w:pPr>
              <w:jc w:val="left"/>
            </w:pPr>
            <w:r>
              <w:rPr>
                <w:sz w:val="18"/>
              </w:rPr>
              <w:t xml:space="preserve">28</w:t>
            </w:r>
          </w:p>
        </w:tc>
        <w:tc>
          <w:tcPr/>
          <w:p>
            <w:pPr>
              <w:jc w:val="left"/>
            </w:pPr>
            <w:r>
              <w:rPr>
                <w:sz w:val="18"/>
              </w:rPr>
              <w:t xml:space="preserve">Pancreatic</w:t>
            </w:r>
          </w:p>
        </w:tc>
        <w:tc>
          <w:tcPr/>
          <w:p>
            <w:pPr>
              <w:jc w:val="left"/>
            </w:pPr>
            <w:r>
              <w:rPr>
                <w:sz w:val="18"/>
              </w:rPr>
              <w:t xml:space="preserve">Safety/DLT</w:t>
            </w:r>
          </w:p>
        </w:tc>
      </w:tr>
      <w:tr>
        <w:tc>
          <w:tcPr/>
          <w:p>
            <w:pPr>
              <w:jc w:val="left"/>
            </w:pPr>
            <w:r>
              <w:rPr>
                <w:sz w:val="18"/>
              </w:rPr>
              <w:t xml:space="preserve">NCT05862316</w:t>
            </w:r>
          </w:p>
        </w:tc>
        <w:tc>
          <w:tcPr/>
          <w:p>
            <w:pPr>
              <w:jc w:val="left"/>
            </w:pPr>
            <w:r>
              <w:rPr>
                <w:sz w:val="18"/>
              </w:rPr>
              <w:t xml:space="preserve">CLDN18.2</w:t>
            </w:r>
          </w:p>
        </w:tc>
        <w:tc>
          <w:tcPr/>
          <w:p>
            <w:pPr>
              <w:jc w:val="left"/>
            </w:pPr>
            <w:r>
              <w:rPr>
                <w:sz w:val="18"/>
              </w:rPr>
              <w:t xml:space="preserve">1/2</w:t>
            </w:r>
          </w:p>
        </w:tc>
        <w:tc>
          <w:tcPr/>
          <w:p>
            <w:pPr>
              <w:jc w:val="left"/>
            </w:pPr>
            <w:r>
              <w:rPr>
                <w:sz w:val="18"/>
              </w:rPr>
              <w:t xml:space="preserve">100</w:t>
            </w:r>
          </w:p>
        </w:tc>
        <w:tc>
          <w:tcPr/>
          <w:p>
            <w:pPr>
              <w:jc w:val="left"/>
            </w:pPr>
            <w:r>
              <w:rPr>
                <w:sz w:val="18"/>
              </w:rPr>
              <w:t xml:space="preserve">Gastric/GEJ</w:t>
            </w:r>
          </w:p>
        </w:tc>
        <w:tc>
          <w:tcPr/>
          <w:p>
            <w:pPr>
              <w:jc w:val="left"/>
            </w:pPr>
            <w:r>
              <w:rPr>
                <w:sz w:val="18"/>
              </w:rPr>
              <w:t xml:space="preserve">ORR</w:t>
            </w:r>
          </w:p>
        </w:tc>
      </w:tr>
      <w:tr>
        <w:tc>
          <w:tcPr/>
          <w:p>
            <w:pPr>
              <w:jc w:val="left"/>
            </w:pPr>
            <w:r>
              <w:rPr>
                <w:sz w:val="18"/>
              </w:rPr>
              <w:t xml:space="preserve">NCT03941626</w:t>
            </w:r>
          </w:p>
        </w:tc>
        <w:tc>
          <w:tcPr/>
          <w:p>
            <w:pPr>
              <w:jc w:val="left"/>
            </w:pPr>
            <w:r>
              <w:rPr>
                <w:sz w:val="18"/>
              </w:rPr>
              <w:t xml:space="preserve">GPC3</w:t>
            </w:r>
          </w:p>
        </w:tc>
        <w:tc>
          <w:tcPr/>
          <w:p>
            <w:pPr>
              <w:jc w:val="left"/>
            </w:pPr>
            <w:r>
              <w:rPr>
                <w:sz w:val="18"/>
              </w:rPr>
              <w:t xml:space="preserve">1/2</w:t>
            </w:r>
          </w:p>
        </w:tc>
        <w:tc>
          <w:tcPr/>
          <w:p>
            <w:pPr>
              <w:jc w:val="left"/>
            </w:pPr>
            <w:r>
              <w:rPr>
                <w:sz w:val="18"/>
              </w:rPr>
              <w:t xml:space="preserve">48</w:t>
            </w:r>
          </w:p>
        </w:tc>
        <w:tc>
          <w:tcPr/>
          <w:p>
            <w:pPr>
              <w:jc w:val="left"/>
            </w:pPr>
            <w:r>
              <w:rPr>
                <w:sz w:val="18"/>
              </w:rPr>
              <w:t xml:space="preserve">Hepatocellular</w:t>
            </w:r>
          </w:p>
        </w:tc>
        <w:tc>
          <w:tcPr/>
          <w:p>
            <w:pPr>
              <w:jc w:val="left"/>
            </w:pPr>
            <w:r>
              <w:rPr>
                <w:sz w:val="18"/>
              </w:rPr>
              <w:t xml:space="preserve">ORR</w:t>
            </w:r>
          </w:p>
        </w:tc>
      </w:tr>
      <w:tr>
        <w:tc>
          <w:tcPr/>
          <w:p>
            <w:pPr>
              <w:jc w:val="left"/>
            </w:pPr>
            <w:r>
              <w:rPr>
                <w:sz w:val="18"/>
              </w:rPr>
              <w:t xml:space="preserve">NCT05108616</w:t>
            </w:r>
          </w:p>
        </w:tc>
        <w:tc>
          <w:tcPr/>
          <w:p>
            <w:pPr>
              <w:jc w:val="left"/>
            </w:pPr>
            <w:r>
              <w:rPr>
                <w:sz w:val="18"/>
              </w:rPr>
              <w:t xml:space="preserve">GPC3</w:t>
            </w:r>
          </w:p>
        </w:tc>
        <w:tc>
          <w:tcPr/>
          <w:p>
            <w:pPr>
              <w:jc w:val="left"/>
            </w:pPr>
            <w:r>
              <w:rPr>
                <w:sz w:val="18"/>
              </w:rPr>
              <w:t xml:space="preserve">1</w:t>
            </w:r>
          </w:p>
        </w:tc>
        <w:tc>
          <w:tcPr/>
          <w:p>
            <w:pPr>
              <w:jc w:val="left"/>
            </w:pPr>
            <w:r>
              <w:rPr>
                <w:sz w:val="18"/>
              </w:rPr>
              <w:t xml:space="preserve">20</w:t>
            </w:r>
          </w:p>
        </w:tc>
        <w:tc>
          <w:tcPr/>
          <w:p>
            <w:pPr>
              <w:jc w:val="left"/>
            </w:pPr>
            <w:r>
              <w:rPr>
                <w:sz w:val="18"/>
              </w:rPr>
              <w:t xml:space="preserve">Hepatocellular</w:t>
            </w:r>
          </w:p>
        </w:tc>
        <w:tc>
          <w:tcPr/>
          <w:p>
            <w:pPr>
              <w:jc w:val="left"/>
            </w:pPr>
            <w:r>
              <w:rPr>
                <w:sz w:val="18"/>
              </w:rPr>
              <w:t xml:space="preserve">Safety</w:t>
            </w:r>
          </w:p>
        </w:tc>
      </w:tr>
      <w:tr>
        <w:tc>
          <w:tcPr/>
          <w:p>
            <w:pPr>
              <w:jc w:val="left"/>
            </w:pPr>
            <w:r>
              <w:rPr>
                <w:sz w:val="18"/>
              </w:rPr>
              <w:t xml:space="preserve">NCT04809766</w:t>
            </w:r>
          </w:p>
        </w:tc>
        <w:tc>
          <w:tcPr/>
          <w:p>
            <w:pPr>
              <w:jc w:val="left"/>
            </w:pPr>
            <w:r>
              <w:rPr>
                <w:sz w:val="18"/>
              </w:rPr>
              <w:t xml:space="preserve">PSMA</w:t>
            </w:r>
          </w:p>
        </w:tc>
        <w:tc>
          <w:tcPr/>
          <w:p>
            <w:pPr>
              <w:jc w:val="left"/>
            </w:pPr>
            <w:r>
              <w:rPr>
                <w:sz w:val="18"/>
              </w:rPr>
              <w:t xml:space="preserve">1</w:t>
            </w:r>
          </w:p>
        </w:tc>
        <w:tc>
          <w:tcPr/>
          <w:p>
            <w:pPr>
              <w:jc w:val="left"/>
            </w:pPr>
            <w:r>
              <w:rPr>
                <w:sz w:val="18"/>
              </w:rPr>
              <w:t xml:space="preserve">30</w:t>
            </w:r>
          </w:p>
        </w:tc>
        <w:tc>
          <w:tcPr/>
          <w:p>
            <w:pPr>
              <w:jc w:val="left"/>
            </w:pPr>
            <w:r>
              <w:rPr>
                <w:sz w:val="18"/>
              </w:rPr>
              <w:t xml:space="preserve">Prostate</w:t>
            </w:r>
          </w:p>
        </w:tc>
        <w:tc>
          <w:tcPr/>
          <w:p>
            <w:pPr>
              <w:jc w:val="left"/>
            </w:pPr>
            <w:r>
              <w:rPr>
                <w:sz w:val="18"/>
              </w:rPr>
              <w:t xml:space="preserve">PSA50</w:t>
            </w:r>
          </w:p>
        </w:tc>
      </w:tr>
      <w:tr>
        <w:tc>
          <w:tcPr/>
          <w:p>
            <w:pPr>
              <w:jc w:val="left"/>
            </w:pPr>
            <w:r>
              <w:rPr>
                <w:sz w:val="18"/>
              </w:rPr>
              <w:t xml:space="preserve">NCT04633148</w:t>
            </w:r>
          </w:p>
        </w:tc>
        <w:tc>
          <w:tcPr/>
          <w:p>
            <w:pPr>
              <w:jc w:val="left"/>
            </w:pPr>
            <w:r>
              <w:rPr>
                <w:sz w:val="18"/>
              </w:rPr>
              <w:t xml:space="preserve">MSLN</w:t>
            </w:r>
          </w:p>
        </w:tc>
        <w:tc>
          <w:tcPr/>
          <w:p>
            <w:pPr>
              <w:jc w:val="left"/>
            </w:pPr>
            <w:r>
              <w:rPr>
                <w:sz w:val="18"/>
              </w:rPr>
              <w:t xml:space="preserve">1</w:t>
            </w:r>
          </w:p>
        </w:tc>
        <w:tc>
          <w:tcPr/>
          <w:p>
            <w:pPr>
              <w:jc w:val="left"/>
            </w:pPr>
            <w:r>
              <w:rPr>
                <w:sz w:val="18"/>
              </w:rPr>
              <w:t xml:space="preserve">36</w:t>
            </w:r>
          </w:p>
        </w:tc>
        <w:tc>
          <w:tcPr/>
          <w:p>
            <w:pPr>
              <w:jc w:val="left"/>
            </w:pPr>
            <w:r>
              <w:rPr>
                <w:sz w:val="18"/>
              </w:rPr>
              <w:t xml:space="preserve">Mesothelioma</w:t>
            </w:r>
          </w:p>
        </w:tc>
        <w:tc>
          <w:tcPr/>
          <w:p>
            <w:pPr>
              <w:jc w:val="left"/>
            </w:pPr>
            <w:r>
              <w:rPr>
                <w:sz w:val="18"/>
              </w:rPr>
              <w:t xml:space="preserve">DCR</w:t>
            </w:r>
          </w:p>
        </w:tc>
      </w:tr>
      <w:tr>
        <w:tc>
          <w:tcPr/>
          <w:p>
            <w:pPr>
              <w:jc w:val="left"/>
            </w:pPr>
            <w:r>
              <w:rPr>
                <w:sz w:val="18"/>
              </w:rPr>
              <w:t xml:space="preserve">NCT05636403</w:t>
            </w:r>
          </w:p>
        </w:tc>
        <w:tc>
          <w:tcPr/>
          <w:p>
            <w:pPr>
              <w:jc w:val="left"/>
            </w:pPr>
            <w:r>
              <w:rPr>
                <w:sz w:val="18"/>
              </w:rPr>
              <w:t xml:space="preserve">HER2</w:t>
            </w:r>
          </w:p>
        </w:tc>
        <w:tc>
          <w:tcPr/>
          <w:p>
            <w:pPr>
              <w:jc w:val="left"/>
            </w:pPr>
            <w:r>
              <w:rPr>
                <w:sz w:val="18"/>
              </w:rPr>
              <w:t xml:space="preserve">1/2</w:t>
            </w:r>
          </w:p>
        </w:tc>
        <w:tc>
          <w:tcPr/>
          <w:p>
            <w:pPr>
              <w:jc w:val="left"/>
            </w:pPr>
            <w:r>
              <w:rPr>
                <w:sz w:val="18"/>
              </w:rPr>
              <w:t xml:space="preserve">60</w:t>
            </w:r>
          </w:p>
        </w:tc>
        <w:tc>
          <w:tcPr/>
          <w:p>
            <w:pPr>
              <w:jc w:val="left"/>
            </w:pPr>
            <w:r>
              <w:rPr>
                <w:sz w:val="18"/>
              </w:rPr>
              <w:t xml:space="preserve">Breast/Gastric</w:t>
            </w:r>
          </w:p>
        </w:tc>
        <w:tc>
          <w:tcPr/>
          <w:p>
            <w:pPr>
              <w:jc w:val="left"/>
            </w:pPr>
            <w:r>
              <w:rPr>
                <w:sz w:val="18"/>
              </w:rPr>
              <w:t xml:space="preserve">ORR</w:t>
            </w:r>
          </w:p>
        </w:tc>
      </w:tr>
      <w:tr>
        <w:tc>
          <w:tcPr/>
          <w:p>
            <w:pPr>
              <w:jc w:val="left"/>
            </w:pPr>
            <w:r>
              <w:rPr>
                <w:sz w:val="18"/>
              </w:rPr>
              <w:t xml:space="preserve">NCT05089250</w:t>
            </w:r>
          </w:p>
        </w:tc>
        <w:tc>
          <w:tcPr/>
          <w:p>
            <w:pPr>
              <w:jc w:val="left"/>
            </w:pPr>
            <w:r>
              <w:rPr>
                <w:sz w:val="18"/>
              </w:rPr>
              <w:t xml:space="preserve">EGFRvIII</w:t>
            </w:r>
          </w:p>
        </w:tc>
        <w:tc>
          <w:tcPr/>
          <w:p>
            <w:pPr>
              <w:jc w:val="left"/>
            </w:pPr>
            <w:r>
              <w:rPr>
                <w:sz w:val="18"/>
              </w:rPr>
              <w:t xml:space="preserve">1</w:t>
            </w:r>
          </w:p>
        </w:tc>
        <w:tc>
          <w:tcPr/>
          <w:p>
            <w:pPr>
              <w:jc w:val="left"/>
            </w:pPr>
            <w:r>
              <w:rPr>
                <w:sz w:val="18"/>
              </w:rPr>
              <w:t xml:space="preserve">24</w:t>
            </w:r>
          </w:p>
        </w:tc>
        <w:tc>
          <w:tcPr/>
          <w:p>
            <w:pPr>
              <w:jc w:val="left"/>
            </w:pPr>
            <w:r>
              <w:rPr>
                <w:sz w:val="18"/>
              </w:rPr>
              <w:t xml:space="preserve">Glioblastoma</w:t>
            </w:r>
          </w:p>
        </w:tc>
        <w:tc>
          <w:tcPr/>
          <w:p>
            <w:pPr>
              <w:jc w:val="left"/>
            </w:pPr>
            <w:r>
              <w:rPr>
                <w:sz w:val="18"/>
              </w:rPr>
              <w:t xml:space="preserve">OS</w:t>
            </w:r>
          </w:p>
        </w:tc>
      </w:tr>
      <w:tr>
        <w:tc>
          <w:tcPr/>
          <w:p>
            <w:pPr>
              <w:jc w:val="left"/>
            </w:pPr>
            <w:r>
              <w:rPr>
                <w:sz w:val="18"/>
              </w:rPr>
              <w:t xml:space="preserve">NCT05353530</w:t>
            </w:r>
          </w:p>
        </w:tc>
        <w:tc>
          <w:tcPr/>
          <w:p>
            <w:pPr>
              <w:jc w:val="left"/>
            </w:pPr>
            <w:r>
              <w:rPr>
                <w:sz w:val="18"/>
              </w:rPr>
              <w:t xml:space="preserve">GD2</w:t>
            </w:r>
          </w:p>
        </w:tc>
        <w:tc>
          <w:tcPr/>
          <w:p>
            <w:pPr>
              <w:jc w:val="left"/>
            </w:pPr>
            <w:r>
              <w:rPr>
                <w:sz w:val="18"/>
              </w:rPr>
              <w:t xml:space="preserve">1/2</w:t>
            </w:r>
          </w:p>
        </w:tc>
        <w:tc>
          <w:tcPr/>
          <w:p>
            <w:pPr>
              <w:jc w:val="left"/>
            </w:pPr>
            <w:r>
              <w:rPr>
                <w:sz w:val="18"/>
              </w:rPr>
              <w:t xml:space="preserve">40</w:t>
            </w:r>
          </w:p>
        </w:tc>
        <w:tc>
          <w:tcPr/>
          <w:p>
            <w:pPr>
              <w:jc w:val="left"/>
            </w:pPr>
            <w:r>
              <w:rPr>
                <w:sz w:val="18"/>
              </w:rPr>
              <w:t xml:space="preserve">Osteosarcoma</w:t>
            </w:r>
          </w:p>
        </w:tc>
        <w:tc>
          <w:tcPr/>
          <w:p>
            <w:pPr>
              <w:jc w:val="left"/>
            </w:pPr>
            <w:r>
              <w:rPr>
                <w:sz w:val="18"/>
              </w:rPr>
              <w:t xml:space="preserve">ORR</w:t>
            </w:r>
          </w:p>
        </w:tc>
      </w:tr>
    </w:tbl>
    <w:p>
      <w:pPr>
        <w:spacing w:after="120"/>
      </w:pPr>
      <w:r>
        <w:rPr>
          <w:sz w:val="18"/>
        </w:rPr>
        <w:t xml:space="preserve">Note: Table includes selected trials with available registration data as of January 2026. DLT = dose-limiting toxicity; DCR = disease control rate; PSA50 = 50% PSA decline; PFS = progression-free survival; ORR = objective response rate; OS = overall survival.</w:t>
      </w:r>
    </w:p>
    <w:p>
      <w:r>
        <w:br w:type="page"/>
      </w:r>
    </w:p>
    <w:p>
      <w:pPr>
        <w:pStyle w:val="Heading1"/>
      </w:pPr>
      <w:r>
        <w:t xml:space="preserve">Figure Legends</w:t>
      </w:r>
    </w:p>
    <w:p>
      <w:r>
        <w:rPr>
          <w:b/>
        </w:rPr>
        <w:t xml:space="preserve">Figure 1. </w:t>
      </w:r>
      <w:r>
        <w:t xml:space="preserve">PRISMA 2020 Flow Diagram. Literature search and study selection process for CAR-T trials in solid tumors.</w:t>
      </w:r>
    </w:p>
    <w:p>
      <w:r>
        <w:rPr>
          <w:b/>
        </w:rPr>
        <w:t xml:space="preserve">Figure 2. </w:t>
      </w:r>
      <w:r>
        <w:t xml:space="preserve">Forest Plot of Objective Response Rates. Pooled ORR from 13 single-arm trials (k=13, n=201). Random-effects model with logit transformation, REML estimation, and HKSJ adjustment. I2 = 52.9%, tau2 = 0.71. 95% prediction interval: 3.3-64.1%.</w:t>
      </w:r>
    </w:p>
    <w:p>
      <w:r>
        <w:rPr>
          <w:b/>
        </w:rPr>
        <w:t xml:space="preserve">Figure 3. </w:t>
      </w:r>
      <w:r>
        <w:t xml:space="preserve">Target-Specific Objective Response Rates. Descriptive ORRs by target antigen. Each target evaluated in different tumor types; not directly comparable.</w:t>
      </w:r>
    </w:p>
    <w:p>
      <w:r>
        <w:rPr>
          <w:b/>
        </w:rPr>
        <w:t xml:space="preserve">Figure 4. </w:t>
      </w:r>
      <w:r>
        <w:t xml:space="preserve">Funnel Plot. Assessment of publication bias across 13 included trials. Asymmetry suggests potential small-study effects (Egger p=0.015).</w:t>
      </w:r>
    </w:p>
    <w:p>
      <w:r>
        <w:rPr>
          <w:b/>
        </w:rPr>
        <w:t xml:space="preserve">Figure 5. </w:t>
      </w:r>
      <w:r>
        <w:t xml:space="preserve">GRADE Evidence Profile. Summary of findings with certainty ratings for key outcomes.</w:t>
      </w:r>
    </w:p>
    <w:sectPr>
      <w:pgSz w:w="11906" w:h="16838"/>
      <w:pgMar w:top="1440" w:right="1440" w:bottom="1440" w:left="1440" w:header="720" w:footer="72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0" w:line="480" w:lineRule="auto"/>
      <w:jc w:val="both"/>
    </w:pPr>
    <w:rPr>
      <w:rFonts w:ascii="Arial" w:hAnsi="Arial"/>
      <w:sz w:val="24"/>
      <w:szCs w:val="24"/>
    </w:rPr>
  </w:style>
  <w:style w:type="paragraph" w:styleId="Heading1">
    <w:name w:val="heading 1"/>
    <w:basedOn w:val="Normal"/>
    <w:pPr>
      <w:keepNext/>
      <w:keepLines/>
      <w:spacing w:before="480" w:after="240" w:line="480" w:lineRule="auto"/>
      <w:jc w:val="left"/>
      <w:outlineLvl w:val="0"/>
    </w:pPr>
    <w:rPr>
      <w:rFonts w:ascii="Arial" w:hAnsi="Arial"/>
      <w:b/>
      <w:sz w:val="28"/>
    </w:rPr>
  </w:style>
  <w:style w:type="paragraph" w:styleId="Heading2">
    <w:name w:val="heading 2"/>
    <w:basedOn w:val="Normal"/>
    <w:pPr>
      <w:keepNext/>
      <w:keepLines/>
      <w:spacing w:before="360" w:after="120" w:line="480" w:lineRule="auto"/>
      <w:jc w:val="left"/>
      <w:outlineLvl w:val="1"/>
    </w:pPr>
    <w:rPr>
      <w:rFonts w:ascii="Arial" w:hAnsi="Arial"/>
      <w:b/>
      <w:sz w:val="24"/>
    </w:rPr>
  </w:style>
</w:styles>
</file>

<file path=word/_rels/document.xml.rels><?xml version='1.0' encoding='UTF-8'?>
<Relationships xmlns="http://schemas.openxmlformats.org/package/2006/relationships"><Relationship Type="http://schemas.openxmlformats.org/officeDocument/2006/relationships/styles" Target="styles.xml" Id="R63486fb401a24d45" /><Relationship Type="http://schemas.openxmlformats.org/officeDocument/2006/relationships/settings" Target="settings.xml" Id="Red4b883625ae4774" /></Relationships>
</file>