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cda8ec6026c1f8463c37850fd071ad6950c2f2"/>
    <w:p>
      <w:pPr>
        <w:pStyle w:val="Heading1"/>
      </w:pPr>
      <w:r>
        <w:t xml:space="preserve">Submission Checklist — npj Precision Oncology</w:t>
      </w:r>
    </w:p>
    <w:bookmarkStart w:id="20" w:name="manuscript"/>
    <w:p>
      <w:pPr>
        <w:pStyle w:val="Heading2"/>
      </w:pPr>
      <w:r>
        <w:t xml:space="preserve">Manuscript</w:t>
      </w:r>
    </w:p>
    <w:p>
      <w:pPr>
        <w:numPr>
          <w:ilvl w:val="0"/>
          <w:numId w:val="1001"/>
        </w:numPr>
        <w:pStyle w:val="Compact"/>
      </w:pPr>
      <w:r>
        <w:t xml:space="preserve">☒ Title page with full author names, affiliations, corresponding author details</w:t>
      </w:r>
    </w:p>
    <w:p>
      <w:pPr>
        <w:numPr>
          <w:ilvl w:val="0"/>
          <w:numId w:val="1001"/>
        </w:numPr>
        <w:pStyle w:val="Compact"/>
      </w:pPr>
      <w:r>
        <w:t xml:space="preserve">☒ Structured Abstract (Background, Methods, Results, Conclusions) — 348 words</w:t>
      </w:r>
    </w:p>
    <w:p>
      <w:pPr>
        <w:numPr>
          <w:ilvl w:val="0"/>
          <w:numId w:val="1001"/>
        </w:numPr>
        <w:pStyle w:val="Compact"/>
      </w:pPr>
      <w:r>
        <w:t xml:space="preserve">☒ Keywords (3-5): CAR-T cell therapy, solid tumors, immunotherapy, evidence mapping, CLDN18.2</w:t>
      </w:r>
    </w:p>
    <w:p>
      <w:pPr>
        <w:numPr>
          <w:ilvl w:val="0"/>
          <w:numId w:val="1001"/>
        </w:numPr>
        <w:pStyle w:val="Compact"/>
      </w:pPr>
      <w:r>
        <w:t xml:space="preserve">☒ Main text: Introduction, Methods, Results, Discussion, Conclusions, Limitations</w:t>
      </w:r>
    </w:p>
    <w:p>
      <w:pPr>
        <w:numPr>
          <w:ilvl w:val="0"/>
          <w:numId w:val="1001"/>
        </w:numPr>
        <w:pStyle w:val="Compact"/>
      </w:pPr>
      <w:r>
        <w:t xml:space="preserve">☒ Author Contributions section (I-VII format)</w:t>
      </w:r>
    </w:p>
    <w:p>
      <w:pPr>
        <w:numPr>
          <w:ilvl w:val="0"/>
          <w:numId w:val="1001"/>
        </w:numPr>
        <w:pStyle w:val="Compact"/>
      </w:pPr>
      <w:r>
        <w:t xml:space="preserve">☒ Acknowledgments section</w:t>
      </w:r>
    </w:p>
    <w:p>
      <w:pPr>
        <w:numPr>
          <w:ilvl w:val="0"/>
          <w:numId w:val="1001"/>
        </w:numPr>
        <w:pStyle w:val="Compact"/>
      </w:pPr>
      <w:r>
        <w:t xml:space="preserve">☒ Declarations (Funding, COI, Ethics, Data Availability)</w:t>
      </w:r>
    </w:p>
    <w:p>
      <w:pPr>
        <w:numPr>
          <w:ilvl w:val="0"/>
          <w:numId w:val="1001"/>
        </w:numPr>
        <w:pStyle w:val="Compact"/>
      </w:pPr>
      <w:r>
        <w:t xml:space="preserve">☒ References (68, Vancouver style)</w:t>
      </w:r>
    </w:p>
    <w:p>
      <w:pPr>
        <w:numPr>
          <w:ilvl w:val="0"/>
          <w:numId w:val="1001"/>
        </w:numPr>
        <w:pStyle w:val="Compact"/>
      </w:pPr>
      <w:r>
        <w:t xml:space="preserve">☒ Tables (3): Study Characteristics, Target-Specific ORR, Ongoing Trials</w:t>
      </w:r>
    </w:p>
    <w:p>
      <w:pPr>
        <w:numPr>
          <w:ilvl w:val="0"/>
          <w:numId w:val="1001"/>
        </w:numPr>
        <w:pStyle w:val="Compact"/>
      </w:pPr>
      <w:r>
        <w:t xml:space="preserve">☒ Figure Legends (5 figures)</w:t>
      </w:r>
    </w:p>
    <w:bookmarkEnd w:id="20"/>
    <w:bookmarkStart w:id="21" w:name="X39451389f3fd1ea0b1494d337d5d2fd0943480a"/>
    <w:p>
      <w:pPr>
        <w:pStyle w:val="Heading2"/>
      </w:pPr>
      <w:r>
        <w:t xml:space="preserve">Required Statements (npj Precision Oncology)</w:t>
      </w:r>
    </w:p>
    <w:p>
      <w:pPr>
        <w:numPr>
          <w:ilvl w:val="0"/>
          <w:numId w:val="1002"/>
        </w:numPr>
        <w:pStyle w:val="Compact"/>
      </w:pPr>
      <w:r>
        <w:t xml:space="preserve">☒ PRISMA 2020 statement at end of Introduction:</w:t>
      </w:r>
      <w:r>
        <w:t xml:space="preserve"> </w:t>
      </w:r>
      <w:r>
        <w:t xml:space="preserve">“</w:t>
      </w:r>
      <w:r>
        <w:t xml:space="preserve">We present this article in accordance with the PRISMA reporting checklist.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☒ Data Availability Statement in Declarations</w:t>
      </w:r>
    </w:p>
    <w:p>
      <w:pPr>
        <w:numPr>
          <w:ilvl w:val="0"/>
          <w:numId w:val="1002"/>
        </w:numPr>
        <w:pStyle w:val="Compact"/>
      </w:pPr>
      <w:r>
        <w:t xml:space="preserve">☒ Competing Interests:</w:t>
      </w:r>
      <w:r>
        <w:t xml:space="preserve"> </w:t>
      </w:r>
      <w:r>
        <w:t xml:space="preserve">“</w:t>
      </w:r>
      <w:r>
        <w:t xml:space="preserve">None declared</w:t>
      </w:r>
      <w:r>
        <w:t xml:space="preserve">”</w:t>
      </w:r>
      <w:r>
        <w:t xml:space="preserve"> </w:t>
      </w:r>
      <w:r>
        <w:t xml:space="preserve">+ ICMJE disclosure forms to be signed</w:t>
      </w:r>
    </w:p>
    <w:p>
      <w:pPr>
        <w:numPr>
          <w:ilvl w:val="0"/>
          <w:numId w:val="1002"/>
        </w:numPr>
        <w:pStyle w:val="Compact"/>
      </w:pPr>
      <w:r>
        <w:t xml:space="preserve">☒ Funding:</w:t>
      </w:r>
      <w:r>
        <w:t xml:space="preserve"> </w:t>
      </w:r>
      <w:r>
        <w:t xml:space="preserve">“</w:t>
      </w:r>
      <w:r>
        <w:t xml:space="preserve">No funding was received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☒ Ethics:</w:t>
      </w:r>
      <w:r>
        <w:t xml:space="preserve"> </w:t>
      </w:r>
      <w:r>
        <w:t xml:space="preserve">“</w:t>
      </w:r>
      <w:r>
        <w:t xml:space="preserve">Not applicable (systematic review of published data)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☒ Author contributions with initials (I-VII format)</w:t>
      </w:r>
    </w:p>
    <w:p>
      <w:pPr>
        <w:numPr>
          <w:ilvl w:val="0"/>
          <w:numId w:val="1002"/>
        </w:numPr>
        <w:pStyle w:val="Compact"/>
      </w:pPr>
      <w:r>
        <w:t xml:space="preserve">☒ PROSPERO registration (CRD420261294180) on title page and in Abstract</w:t>
      </w:r>
    </w:p>
    <w:bookmarkEnd w:id="21"/>
    <w:bookmarkStart w:id="22" w:name="supplementary-files"/>
    <w:p>
      <w:pPr>
        <w:pStyle w:val="Heading2"/>
      </w:pPr>
      <w:r>
        <w:t xml:space="preserve">Supplementary Files</w:t>
      </w:r>
    </w:p>
    <w:p>
      <w:pPr>
        <w:numPr>
          <w:ilvl w:val="0"/>
          <w:numId w:val="1003"/>
        </w:numPr>
        <w:pStyle w:val="Compact"/>
      </w:pPr>
      <w:r>
        <w:t xml:space="preserve">☒ PRISMA 2020 Checklist (this checklist with page/section references)</w:t>
      </w:r>
    </w:p>
    <w:p>
      <w:pPr>
        <w:numPr>
          <w:ilvl w:val="0"/>
          <w:numId w:val="1003"/>
        </w:numPr>
        <w:pStyle w:val="Compact"/>
      </w:pPr>
      <w:r>
        <w:t xml:space="preserve">☒ Search strategy (Supplementary Table S1)</w:t>
      </w:r>
    </w:p>
    <w:p>
      <w:pPr>
        <w:numPr>
          <w:ilvl w:val="0"/>
          <w:numId w:val="1003"/>
        </w:numPr>
        <w:pStyle w:val="Compact"/>
      </w:pPr>
      <w:r>
        <w:t xml:space="preserve">☒ JBI risk of bias assessment (Supplementary Table S2)</w:t>
      </w:r>
    </w:p>
    <w:p>
      <w:pPr>
        <w:numPr>
          <w:ilvl w:val="0"/>
          <w:numId w:val="1003"/>
        </w:numPr>
        <w:pStyle w:val="Compact"/>
      </w:pPr>
      <w:r>
        <w:t xml:space="preserve">☐ Reporting Summary (Nature Portfolio template — to be completed)</w:t>
      </w:r>
    </w:p>
    <w:p>
      <w:pPr>
        <w:numPr>
          <w:ilvl w:val="0"/>
          <w:numId w:val="1003"/>
        </w:numPr>
        <w:pStyle w:val="Compact"/>
      </w:pPr>
      <w:r>
        <w:t xml:space="preserve">☐ Editorial Policy Checklist (Nature Portfolio — to be completed)</w:t>
      </w:r>
    </w:p>
    <w:bookmarkEnd w:id="22"/>
    <w:bookmarkStart w:id="23" w:name="figures-to-prepare"/>
    <w:p>
      <w:pPr>
        <w:pStyle w:val="Heading2"/>
      </w:pPr>
      <w:r>
        <w:t xml:space="preserve">Figures to Prepare</w:t>
      </w:r>
    </w:p>
    <w:p>
      <w:pPr>
        <w:numPr>
          <w:ilvl w:val="0"/>
          <w:numId w:val="1004"/>
        </w:numPr>
        <w:pStyle w:val="Compact"/>
      </w:pPr>
      <w:r>
        <w:t xml:space="preserve">☐ Figure 1: PRISMA Flow Diagram</w:t>
      </w:r>
    </w:p>
    <w:p>
      <w:pPr>
        <w:numPr>
          <w:ilvl w:val="0"/>
          <w:numId w:val="1004"/>
        </w:numPr>
        <w:pStyle w:val="Compact"/>
      </w:pPr>
      <w:r>
        <w:t xml:space="preserve">☐ Figure 2: Forest Plot (pooled ORR)</w:t>
      </w:r>
    </w:p>
    <w:p>
      <w:pPr>
        <w:numPr>
          <w:ilvl w:val="0"/>
          <w:numId w:val="1004"/>
        </w:numPr>
        <w:pStyle w:val="Compact"/>
      </w:pPr>
      <w:r>
        <w:t xml:space="preserve">☐ Figure 3: Target-Specific ORR Bar Chart</w:t>
      </w:r>
    </w:p>
    <w:p>
      <w:pPr>
        <w:numPr>
          <w:ilvl w:val="0"/>
          <w:numId w:val="1004"/>
        </w:numPr>
        <w:pStyle w:val="Compact"/>
      </w:pPr>
      <w:r>
        <w:t xml:space="preserve">☐ Figure 4: Funnel Plot</w:t>
      </w:r>
    </w:p>
    <w:p>
      <w:pPr>
        <w:numPr>
          <w:ilvl w:val="0"/>
          <w:numId w:val="1004"/>
        </w:numPr>
        <w:pStyle w:val="Compact"/>
      </w:pPr>
      <w:r>
        <w:t xml:space="preserve">☐ Figure 5: GRADE Evidence Profile</w:t>
      </w:r>
    </w:p>
    <w:bookmarkEnd w:id="23"/>
    <w:bookmarkStart w:id="24" w:name="submission-documents"/>
    <w:p>
      <w:pPr>
        <w:pStyle w:val="Heading2"/>
      </w:pPr>
      <w:r>
        <w:t xml:space="preserve">Submission Documents</w:t>
      </w:r>
    </w:p>
    <w:p>
      <w:pPr>
        <w:numPr>
          <w:ilvl w:val="0"/>
          <w:numId w:val="1005"/>
        </w:numPr>
        <w:pStyle w:val="Compact"/>
      </w:pPr>
      <w:r>
        <w:t xml:space="preserve">☒ Cover Letter (confidential — not shared with referees)</w:t>
      </w:r>
    </w:p>
    <w:p>
      <w:pPr>
        <w:numPr>
          <w:ilvl w:val="0"/>
          <w:numId w:val="1005"/>
        </w:numPr>
        <w:pStyle w:val="Compact"/>
      </w:pPr>
      <w:r>
        <w:t xml:space="preserve">☒ Manuscript file (.docx)</w:t>
      </w:r>
    </w:p>
    <w:p>
      <w:pPr>
        <w:numPr>
          <w:ilvl w:val="0"/>
          <w:numId w:val="1005"/>
        </w:numPr>
        <w:pStyle w:val="Compact"/>
      </w:pPr>
      <w:r>
        <w:t xml:space="preserve">☒ PRISMA Checklist</w:t>
      </w:r>
    </w:p>
    <w:p>
      <w:pPr>
        <w:numPr>
          <w:ilvl w:val="0"/>
          <w:numId w:val="1005"/>
        </w:numPr>
        <w:pStyle w:val="Compact"/>
      </w:pPr>
      <w:r>
        <w:t xml:space="preserve">☐ Figures (high resolution, 300 DPI, TIFF/EPS preferred)</w:t>
      </w:r>
    </w:p>
    <w:p>
      <w:pPr>
        <w:numPr>
          <w:ilvl w:val="0"/>
          <w:numId w:val="1005"/>
        </w:numPr>
        <w:pStyle w:val="Compact"/>
      </w:pPr>
      <w:r>
        <w:t xml:space="preserve">☐ Reporting Summary (Nature Portfolio form)</w:t>
      </w:r>
    </w:p>
    <w:p>
      <w:pPr>
        <w:numPr>
          <w:ilvl w:val="0"/>
          <w:numId w:val="1005"/>
        </w:numPr>
        <w:pStyle w:val="Compact"/>
      </w:pPr>
      <w:r>
        <w:t xml:space="preserve">☐ Editorial Policy Checklist (Nature Portfolio form)</w:t>
      </w:r>
    </w:p>
    <w:p>
      <w:pPr>
        <w:numPr>
          <w:ilvl w:val="0"/>
          <w:numId w:val="1005"/>
        </w:numPr>
        <w:pStyle w:val="Compact"/>
      </w:pPr>
      <w:r>
        <w:t xml:space="preserve">☐ ICMJE Competing Interests Disclosure Forms (signed by all 5 authors)</w:t>
      </w:r>
    </w:p>
    <w:p>
      <w:pPr>
        <w:numPr>
          <w:ilvl w:val="0"/>
          <w:numId w:val="1005"/>
        </w:numPr>
        <w:pStyle w:val="Compact"/>
      </w:pPr>
      <w:r>
        <w:t xml:space="preserve">☐ ORCID iDs for all authors (if available)</w:t>
      </w:r>
    </w:p>
    <w:bookmarkEnd w:id="24"/>
    <w:bookmarkStart w:id="25" w:name="post-acceptance-if-accepted"/>
    <w:p>
      <w:pPr>
        <w:pStyle w:val="Heading2"/>
      </w:pPr>
      <w:r>
        <w:t xml:space="preserve">Post-Acceptance (if accepted)</w:t>
      </w:r>
    </w:p>
    <w:p>
      <w:pPr>
        <w:numPr>
          <w:ilvl w:val="0"/>
          <w:numId w:val="1006"/>
        </w:numPr>
        <w:pStyle w:val="Compact"/>
      </w:pPr>
      <w:r>
        <w:t xml:space="preserve">☐ Format manuscript per npj Precision Oncology formatting requirements</w:t>
      </w:r>
    </w:p>
    <w:p>
      <w:pPr>
        <w:numPr>
          <w:ilvl w:val="0"/>
          <w:numId w:val="1006"/>
        </w:numPr>
        <w:pStyle w:val="Compact"/>
      </w:pPr>
      <w:r>
        <w:t xml:space="preserve">☐ Provide source files for figures</w:t>
      </w:r>
    </w:p>
    <w:p>
      <w:pPr>
        <w:numPr>
          <w:ilvl w:val="0"/>
          <w:numId w:val="1006"/>
        </w:numPr>
        <w:pStyle w:val="Compact"/>
      </w:pPr>
      <w:r>
        <w:t xml:space="preserve">☐ Complete page proofs within 3 working days</w:t>
      </w:r>
    </w:p>
    <w:p>
      <w:pPr>
        <w:numPr>
          <w:ilvl w:val="0"/>
          <w:numId w:val="1006"/>
        </w:numPr>
        <w:pStyle w:val="Compact"/>
      </w:pPr>
      <w:r>
        <w:t xml:space="preserve">☐ Pay APC (npj Precision Oncology is fully open access)</w:t>
      </w:r>
    </w:p>
    <w:bookmarkEnd w:id="25"/>
    <w:bookmarkStart w:id="26" w:name="apc-note"/>
    <w:p>
      <w:pPr>
        <w:pStyle w:val="Heading2"/>
      </w:pPr>
      <w:r>
        <w:t xml:space="preserve">APC Note</w:t>
      </w:r>
    </w:p>
    <w:p>
      <w:pPr>
        <w:pStyle w:val="FirstParagraph"/>
      </w:pPr>
      <w:r>
        <w:t xml:space="preserve">npj Precision Oncology is a fully open access journal. Article Processing Charges apply upon acceptance. Check current APC rates at: https://www.nature.com/npjprecisiononcology/for-authors-and-referees/article-processing-charges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Date prepared:</w:t>
      </w:r>
      <w:r>
        <w:t xml:space="preserve"> </w:t>
      </w:r>
      <w:r>
        <w:t xml:space="preserve">June 20, 2026</w:t>
      </w:r>
      <w:r>
        <w:t xml:space="preserve"> </w:t>
      </w:r>
      <w:r>
        <w:rPr>
          <w:bCs/>
          <w:b/>
        </w:rPr>
        <w:t xml:space="preserve">Corresponding author:</w:t>
      </w:r>
      <w:r>
        <w:t xml:space="preserve"> </w:t>
      </w:r>
      <w:r>
        <w:t xml:space="preserve">Raphael Brandao Moreira, MD (raphael.moreira@jax.ufl.edu)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2026-06-19T19:29:20Z</dcterms:created>
  <dcterms:modified xsi:type="dcterms:W3CDTF">2026-06-19T19:29:20Z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