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00CB" w14:textId="77777777" w:rsidR="00A6030B" w:rsidRPr="00A6030B" w:rsidRDefault="00A6030B" w:rsidP="00A6030B">
      <w:pPr>
        <w:rPr>
          <w:b/>
          <w:bCs/>
          <w:color w:val="1F4E79" w:themeColor="accent5" w:themeShade="80"/>
          <w:sz w:val="40"/>
          <w:szCs w:val="40"/>
        </w:rPr>
      </w:pPr>
      <w:r w:rsidRPr="00A6030B">
        <w:rPr>
          <w:b/>
          <w:bCs/>
          <w:color w:val="1F4E79" w:themeColor="accent5" w:themeShade="80"/>
          <w:sz w:val="40"/>
          <w:szCs w:val="40"/>
        </w:rPr>
        <w:t>Comprehensive Business Performance &amp; Analytics Report: Super Store Dashboard</w:t>
      </w:r>
    </w:p>
    <w:p w14:paraId="0A1B4D28" w14:textId="77777777" w:rsidR="00A6030B" w:rsidRPr="00A6030B" w:rsidRDefault="00A6030B" w:rsidP="00A6030B">
      <w:pPr>
        <w:rPr>
          <w:rFonts w:asciiTheme="majorBidi" w:hAnsiTheme="majorBidi" w:cstheme="majorBidi"/>
        </w:rPr>
      </w:pPr>
      <w:r w:rsidRPr="00A6030B">
        <w:rPr>
          <w:rFonts w:asciiTheme="majorBidi" w:hAnsiTheme="majorBidi" w:cstheme="majorBidi"/>
        </w:rPr>
        <w:t>1. Executive Summary &amp; Project Overview</w:t>
      </w:r>
    </w:p>
    <w:p w14:paraId="546BB01A"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Analyst &amp; Designer: Rawan Mohamed Said </w:t>
      </w:r>
      <w:proofErr w:type="spellStart"/>
      <w:r w:rsidRPr="00A6030B">
        <w:rPr>
          <w:rFonts w:asciiTheme="majorBidi" w:hAnsiTheme="majorBidi" w:cstheme="majorBidi"/>
        </w:rPr>
        <w:t>Metwaly</w:t>
      </w:r>
      <w:proofErr w:type="spellEnd"/>
      <w:r w:rsidRPr="00A6030B">
        <w:rPr>
          <w:rFonts w:asciiTheme="majorBidi" w:hAnsiTheme="majorBidi" w:cstheme="majorBidi"/>
        </w:rPr>
        <w:t xml:space="preserve">  </w:t>
      </w:r>
    </w:p>
    <w:p w14:paraId="424FB49B"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Project Objective: Transitioning raw retail data into actionable business intelligence. This Power BI dashboard is structured to deliver deep visibility into sales trajectories, financial profitability, customer segmentation dynamics, and supply chain logistics to empower data-driven strategic decisions.  </w:t>
      </w:r>
    </w:p>
    <w:p w14:paraId="06D06C03"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Architecture &amp; Navigation: The report is built with an intuitive multi-page layout featuring a dedicated Landing Page, Financial Overview, Sales &amp; Profitability analysis, and Shipping &amp; Logistics Performance tracking.  </w:t>
      </w:r>
    </w:p>
    <w:p w14:paraId="04CC706E" w14:textId="77777777" w:rsidR="00A6030B" w:rsidRPr="00A6030B" w:rsidRDefault="00A6030B" w:rsidP="00A6030B">
      <w:pPr>
        <w:rPr>
          <w:rFonts w:asciiTheme="majorBidi" w:hAnsiTheme="majorBidi" w:cstheme="majorBidi"/>
        </w:rPr>
      </w:pPr>
      <w:r w:rsidRPr="00A6030B">
        <w:rPr>
          <w:rFonts w:asciiTheme="majorBidi" w:hAnsiTheme="majorBidi" w:cstheme="majorBidi"/>
        </w:rPr>
        <w:t>2. Key Financial Performance Indicators (KPIs)</w:t>
      </w:r>
    </w:p>
    <w:p w14:paraId="3201EE6C" w14:textId="77777777" w:rsidR="00A6030B" w:rsidRPr="00A6030B" w:rsidRDefault="00A6030B" w:rsidP="00A6030B">
      <w:pPr>
        <w:rPr>
          <w:rFonts w:asciiTheme="majorBidi" w:hAnsiTheme="majorBidi" w:cstheme="majorBidi"/>
        </w:rPr>
      </w:pPr>
      <w:r w:rsidRPr="00A6030B">
        <w:rPr>
          <w:rFonts w:asciiTheme="majorBidi" w:hAnsiTheme="majorBidi" w:cstheme="majorBidi"/>
        </w:rPr>
        <w:t>The top-level metrics provide an immediate snapshot of the enterprise's overarching financial health:</w:t>
      </w:r>
    </w:p>
    <w:p w14:paraId="0F24837F"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Total Sales: Reached $2.30M, reflecting robust top-line revenue generation across the retail landscape.  </w:t>
      </w:r>
    </w:p>
    <w:p w14:paraId="06D565F3"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Total Profit: Stood at $286.40K, demonstrating solid net profitability.  </w:t>
      </w:r>
    </w:p>
    <w:p w14:paraId="43B4C157"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Profit Margin: Maintained at a healthy 12.47%, indicating efficient cost-to-revenue conversion.  </w:t>
      </w:r>
    </w:p>
    <w:p w14:paraId="086A0AF0"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Average Discount: Recorded at an average rate of 1.56, signaling controlled promotional discounting strategies.  </w:t>
      </w:r>
    </w:p>
    <w:p w14:paraId="673254FA"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Customer Base &amp; Order Volume: The store successfully services 793 unique customers, fulfilling a total quantity of 38K units. The Average Order Value (AOV) stands at $458.61, with a total recorded cost baseline of $2.01M.  </w:t>
      </w:r>
    </w:p>
    <w:p w14:paraId="10F2F914" w14:textId="77777777" w:rsidR="00A6030B" w:rsidRPr="00A6030B" w:rsidRDefault="00A6030B" w:rsidP="00A6030B">
      <w:pPr>
        <w:rPr>
          <w:rFonts w:asciiTheme="majorBidi" w:hAnsiTheme="majorBidi" w:cstheme="majorBidi"/>
        </w:rPr>
      </w:pPr>
      <w:r w:rsidRPr="00A6030B">
        <w:rPr>
          <w:rFonts w:asciiTheme="majorBidi" w:hAnsiTheme="majorBidi" w:cstheme="majorBidi"/>
        </w:rPr>
        <w:t>3. Sales Segmentation &amp; Category Breakdown</w:t>
      </w:r>
    </w:p>
    <w:p w14:paraId="544A2A37" w14:textId="77777777" w:rsidR="00A6030B" w:rsidRPr="00A6030B" w:rsidRDefault="00A6030B" w:rsidP="00A6030B">
      <w:pPr>
        <w:rPr>
          <w:rFonts w:asciiTheme="majorBidi" w:hAnsiTheme="majorBidi" w:cstheme="majorBidi"/>
        </w:rPr>
      </w:pPr>
      <w:r w:rsidRPr="00A6030B">
        <w:rPr>
          <w:rFonts w:asciiTheme="majorBidi" w:hAnsiTheme="majorBidi" w:cstheme="majorBidi"/>
        </w:rPr>
        <w:t>Customer Segments (Consumer, Corporate, Home Office):</w:t>
      </w:r>
    </w:p>
    <w:p w14:paraId="3C42516E"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Visualized effectively via donut charts, the Consumer segment dominates the market share in terms of transaction volume and overall revenue contribution, followed closely by </w:t>
      </w:r>
      <w:proofErr w:type="gramStart"/>
      <w:r w:rsidRPr="00A6030B">
        <w:rPr>
          <w:rFonts w:asciiTheme="majorBidi" w:hAnsiTheme="majorBidi" w:cstheme="majorBidi"/>
        </w:rPr>
        <w:t>Corporate</w:t>
      </w:r>
      <w:proofErr w:type="gramEnd"/>
      <w:r w:rsidRPr="00A6030B">
        <w:rPr>
          <w:rFonts w:asciiTheme="majorBidi" w:hAnsiTheme="majorBidi" w:cstheme="majorBidi"/>
        </w:rPr>
        <w:t xml:space="preserve"> clients and Home Office buyers.  </w:t>
      </w:r>
    </w:p>
    <w:p w14:paraId="573AAD72" w14:textId="77777777" w:rsidR="00A6030B" w:rsidRPr="00A6030B" w:rsidRDefault="00A6030B" w:rsidP="00A6030B">
      <w:pPr>
        <w:rPr>
          <w:rFonts w:asciiTheme="majorBidi" w:hAnsiTheme="majorBidi" w:cstheme="majorBidi"/>
        </w:rPr>
      </w:pPr>
      <w:r w:rsidRPr="00A6030B">
        <w:rPr>
          <w:rFonts w:asciiTheme="majorBidi" w:hAnsiTheme="majorBidi" w:cstheme="majorBidi"/>
        </w:rPr>
        <w:t>Product Category &amp; Sub-Category Performance:</w:t>
      </w:r>
    </w:p>
    <w:p w14:paraId="011CC902" w14:textId="77777777" w:rsidR="00A6030B" w:rsidRPr="00A6030B" w:rsidRDefault="00A6030B" w:rsidP="00A6030B">
      <w:pPr>
        <w:rPr>
          <w:rFonts w:asciiTheme="majorBidi" w:hAnsiTheme="majorBidi" w:cstheme="majorBidi"/>
        </w:rPr>
      </w:pPr>
      <w:r w:rsidRPr="00A6030B">
        <w:rPr>
          <w:rFonts w:asciiTheme="majorBidi" w:hAnsiTheme="majorBidi" w:cstheme="majorBidi"/>
        </w:rPr>
        <w:lastRenderedPageBreak/>
        <w:t xml:space="preserve">High-performing sub-categories such as Chairs and Phones lead total sales, serving as primary revenue drivers.  </w:t>
      </w:r>
    </w:p>
    <w:p w14:paraId="4857F5FE"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The dashboard incorporates a Total Returns by Sub-Category analysis, isolating categories like Paper and storage solutions that experience higher return frequencies, allowing management to investigate product quality or description mismatches.  </w:t>
      </w:r>
    </w:p>
    <w:p w14:paraId="7184E7D0" w14:textId="77777777" w:rsidR="00A6030B" w:rsidRPr="00A6030B" w:rsidRDefault="00A6030B" w:rsidP="00A6030B">
      <w:pPr>
        <w:rPr>
          <w:rFonts w:asciiTheme="majorBidi" w:hAnsiTheme="majorBidi" w:cstheme="majorBidi"/>
        </w:rPr>
      </w:pPr>
      <w:r w:rsidRPr="00A6030B">
        <w:rPr>
          <w:rFonts w:asciiTheme="majorBidi" w:hAnsiTheme="majorBidi" w:cstheme="majorBidi"/>
        </w:rPr>
        <w:t>Temporal Trends (Sales by Year and Month):</w:t>
      </w:r>
    </w:p>
    <w:p w14:paraId="12BE1A5D"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Time-series line charts map revenue progression from 2016 through 2019. These trends capture seasonal spikes and recurring holiday or year-end buying surges, assisting inventory planners in preemptive stock allocation.  </w:t>
      </w:r>
    </w:p>
    <w:p w14:paraId="220628BF" w14:textId="77777777" w:rsidR="00A6030B" w:rsidRPr="00A6030B" w:rsidRDefault="00A6030B" w:rsidP="00A6030B">
      <w:pPr>
        <w:rPr>
          <w:rFonts w:asciiTheme="majorBidi" w:hAnsiTheme="majorBidi" w:cstheme="majorBidi"/>
        </w:rPr>
      </w:pPr>
      <w:r w:rsidRPr="00A6030B">
        <w:rPr>
          <w:rFonts w:asciiTheme="majorBidi" w:hAnsiTheme="majorBidi" w:cstheme="majorBidi"/>
        </w:rPr>
        <w:t>4. Geographic &amp; Regional Insights</w:t>
      </w:r>
    </w:p>
    <w:p w14:paraId="6155DB63" w14:textId="77777777" w:rsidR="00A6030B" w:rsidRPr="00A6030B" w:rsidRDefault="00A6030B" w:rsidP="00A6030B">
      <w:pPr>
        <w:rPr>
          <w:rFonts w:asciiTheme="majorBidi" w:hAnsiTheme="majorBidi" w:cstheme="majorBidi"/>
        </w:rPr>
      </w:pPr>
      <w:r w:rsidRPr="00A6030B">
        <w:rPr>
          <w:rFonts w:asciiTheme="majorBidi" w:hAnsiTheme="majorBidi" w:cstheme="majorBidi"/>
        </w:rPr>
        <w:t>Regional Distribution: Performance filters and bar charts by region highlight geographic strongholds and underperforming territories, enabling targeted regional marketing campaigns and localized sales strategies.</w:t>
      </w:r>
    </w:p>
    <w:p w14:paraId="35CE410D" w14:textId="77777777" w:rsidR="00A6030B" w:rsidRPr="00A6030B" w:rsidRDefault="00A6030B" w:rsidP="00A6030B">
      <w:pPr>
        <w:rPr>
          <w:rFonts w:asciiTheme="majorBidi" w:hAnsiTheme="majorBidi" w:cstheme="majorBidi"/>
        </w:rPr>
      </w:pPr>
      <w:r w:rsidRPr="00A6030B">
        <w:rPr>
          <w:rFonts w:asciiTheme="majorBidi" w:hAnsiTheme="majorBidi" w:cstheme="majorBidi"/>
        </w:rPr>
        <w:t>Granular Product Analysis: Customer-level and product-level ranking charts ensure that top-tier buyers and VIP contributors are clearly visible for retention and loyalty program targeting.</w:t>
      </w:r>
    </w:p>
    <w:p w14:paraId="44A272A1" w14:textId="77777777" w:rsidR="00A6030B" w:rsidRPr="00A6030B" w:rsidRDefault="00A6030B" w:rsidP="00A6030B">
      <w:pPr>
        <w:rPr>
          <w:rFonts w:asciiTheme="majorBidi" w:hAnsiTheme="majorBidi" w:cstheme="majorBidi"/>
        </w:rPr>
      </w:pPr>
      <w:r w:rsidRPr="00A6030B">
        <w:rPr>
          <w:rFonts w:asciiTheme="majorBidi" w:hAnsiTheme="majorBidi" w:cstheme="majorBidi"/>
        </w:rPr>
        <w:t>5. Shipping &amp; Logistics Operations</w:t>
      </w:r>
    </w:p>
    <w:p w14:paraId="27145B56"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Fulfillment Modes: The logistics section evaluates delivery efficiency across different shipping classes (such as Standard Class, Second Class, and First Class).  </w:t>
      </w:r>
    </w:p>
    <w:p w14:paraId="5300CBB5" w14:textId="77777777" w:rsidR="00A6030B" w:rsidRPr="00A6030B" w:rsidRDefault="00A6030B" w:rsidP="00A6030B">
      <w:pPr>
        <w:rPr>
          <w:rFonts w:asciiTheme="majorBidi" w:hAnsiTheme="majorBidi" w:cstheme="majorBidi"/>
        </w:rPr>
      </w:pPr>
      <w:r w:rsidRPr="00A6030B">
        <w:rPr>
          <w:rFonts w:asciiTheme="majorBidi" w:hAnsiTheme="majorBidi" w:cstheme="majorBidi"/>
        </w:rPr>
        <w:t xml:space="preserve">Delay &amp; Return Correlation: By tracking shipping delays alongside return rates categorized by ship mode, the dashboard identifies logistical bottlenecks that could potentially impact customer satisfaction scores.  </w:t>
      </w:r>
    </w:p>
    <w:p w14:paraId="6093B3F2" w14:textId="77777777" w:rsidR="00A6030B" w:rsidRPr="00A6030B" w:rsidRDefault="00A6030B" w:rsidP="00A6030B">
      <w:pPr>
        <w:rPr>
          <w:rFonts w:asciiTheme="majorBidi" w:hAnsiTheme="majorBidi" w:cstheme="majorBidi"/>
        </w:rPr>
      </w:pPr>
      <w:r w:rsidRPr="00A6030B">
        <w:rPr>
          <w:rFonts w:asciiTheme="majorBidi" w:hAnsiTheme="majorBidi" w:cstheme="majorBidi"/>
        </w:rPr>
        <w:t>6. Recommendations &amp; Strategic Next Steps</w:t>
      </w:r>
    </w:p>
    <w:p w14:paraId="1D6B38E9" w14:textId="77777777" w:rsidR="00A6030B" w:rsidRPr="00A6030B" w:rsidRDefault="00A6030B" w:rsidP="00A6030B">
      <w:pPr>
        <w:rPr>
          <w:rFonts w:asciiTheme="majorBidi" w:hAnsiTheme="majorBidi" w:cstheme="majorBidi"/>
        </w:rPr>
      </w:pPr>
      <w:r w:rsidRPr="00A6030B">
        <w:rPr>
          <w:rFonts w:asciiTheme="majorBidi" w:hAnsiTheme="majorBidi" w:cstheme="majorBidi"/>
        </w:rPr>
        <w:t>Optimize High-Return Categories: Investigate the root causes behind elevated returns in specific sub-categories to minimize reverse-logistics costs.</w:t>
      </w:r>
    </w:p>
    <w:p w14:paraId="35730EFF" w14:textId="77777777" w:rsidR="00A6030B" w:rsidRPr="00A6030B" w:rsidRDefault="00A6030B" w:rsidP="00A6030B">
      <w:pPr>
        <w:rPr>
          <w:rFonts w:asciiTheme="majorBidi" w:hAnsiTheme="majorBidi" w:cstheme="majorBidi"/>
        </w:rPr>
      </w:pPr>
      <w:r w:rsidRPr="00A6030B">
        <w:rPr>
          <w:rFonts w:asciiTheme="majorBidi" w:hAnsiTheme="majorBidi" w:cstheme="majorBidi"/>
        </w:rPr>
        <w:t>Targeted Promotions: Leverage customer segmentation insights to design tailored cross-selling campaigns for the dominant Consumer segment while incentivizing higher-tier Corporate orders.</w:t>
      </w:r>
    </w:p>
    <w:p w14:paraId="58FD6360" w14:textId="1A132A00" w:rsidR="001375B8" w:rsidRDefault="00A6030B" w:rsidP="00A6030B">
      <w:r w:rsidRPr="00A6030B">
        <w:rPr>
          <w:rFonts w:asciiTheme="majorBidi" w:hAnsiTheme="majorBidi" w:cstheme="majorBidi"/>
        </w:rPr>
        <w:t>Logistics Streamlining: Address fulfillment delays identified in the logistics page to protect customer retention and elev</w:t>
      </w:r>
      <w:r>
        <w:t>ate delivery service levels.</w:t>
      </w:r>
    </w:p>
    <w:sectPr w:rsidR="001375B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0B"/>
    <w:rsid w:val="001375B8"/>
    <w:rsid w:val="00216FC6"/>
    <w:rsid w:val="004B3FF7"/>
    <w:rsid w:val="00A6030B"/>
    <w:rsid w:val="00C0004E"/>
    <w:rsid w:val="00E54D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E794"/>
  <w15:chartTrackingRefBased/>
  <w15:docId w15:val="{D7FB529D-7101-4BF1-84A6-B21934BB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30B"/>
    <w:rPr>
      <w:rFonts w:eastAsiaTheme="majorEastAsia" w:cstheme="majorBidi"/>
      <w:color w:val="272727" w:themeColor="text1" w:themeTint="D8"/>
    </w:rPr>
  </w:style>
  <w:style w:type="paragraph" w:styleId="Title">
    <w:name w:val="Title"/>
    <w:basedOn w:val="Normal"/>
    <w:next w:val="Normal"/>
    <w:link w:val="TitleChar"/>
    <w:uiPriority w:val="10"/>
    <w:qFormat/>
    <w:rsid w:val="00A60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30B"/>
    <w:pPr>
      <w:spacing w:before="160"/>
      <w:jc w:val="center"/>
    </w:pPr>
    <w:rPr>
      <w:i/>
      <w:iCs/>
      <w:color w:val="404040" w:themeColor="text1" w:themeTint="BF"/>
    </w:rPr>
  </w:style>
  <w:style w:type="character" w:customStyle="1" w:styleId="QuoteChar">
    <w:name w:val="Quote Char"/>
    <w:basedOn w:val="DefaultParagraphFont"/>
    <w:link w:val="Quote"/>
    <w:uiPriority w:val="29"/>
    <w:rsid w:val="00A6030B"/>
    <w:rPr>
      <w:i/>
      <w:iCs/>
      <w:color w:val="404040" w:themeColor="text1" w:themeTint="BF"/>
    </w:rPr>
  </w:style>
  <w:style w:type="paragraph" w:styleId="ListParagraph">
    <w:name w:val="List Paragraph"/>
    <w:basedOn w:val="Normal"/>
    <w:uiPriority w:val="34"/>
    <w:qFormat/>
    <w:rsid w:val="00A6030B"/>
    <w:pPr>
      <w:ind w:left="720"/>
      <w:contextualSpacing/>
    </w:pPr>
  </w:style>
  <w:style w:type="character" w:styleId="IntenseEmphasis">
    <w:name w:val="Intense Emphasis"/>
    <w:basedOn w:val="DefaultParagraphFont"/>
    <w:uiPriority w:val="21"/>
    <w:qFormat/>
    <w:rsid w:val="00A6030B"/>
    <w:rPr>
      <w:i/>
      <w:iCs/>
      <w:color w:val="2F5496" w:themeColor="accent1" w:themeShade="BF"/>
    </w:rPr>
  </w:style>
  <w:style w:type="paragraph" w:styleId="IntenseQuote">
    <w:name w:val="Intense Quote"/>
    <w:basedOn w:val="Normal"/>
    <w:next w:val="Normal"/>
    <w:link w:val="IntenseQuoteChar"/>
    <w:uiPriority w:val="30"/>
    <w:qFormat/>
    <w:rsid w:val="00A60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30B"/>
    <w:rPr>
      <w:i/>
      <w:iCs/>
      <w:color w:val="2F5496" w:themeColor="accent1" w:themeShade="BF"/>
    </w:rPr>
  </w:style>
  <w:style w:type="character" w:styleId="IntenseReference">
    <w:name w:val="Intense Reference"/>
    <w:basedOn w:val="DefaultParagraphFont"/>
    <w:uiPriority w:val="32"/>
    <w:qFormat/>
    <w:rsid w:val="00A603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Mohamed Saeed</dc:creator>
  <cp:keywords/>
  <dc:description/>
  <cp:lastModifiedBy>Rawan Mohamed Saeed</cp:lastModifiedBy>
  <cp:revision>1</cp:revision>
  <dcterms:created xsi:type="dcterms:W3CDTF">2026-09-20T19:15:00Z</dcterms:created>
  <dcterms:modified xsi:type="dcterms:W3CDTF">2026-09-20T19:17:00Z</dcterms:modified>
</cp:coreProperties>
</file>