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THE RMACD FRAMEWORK</w:t>
      </w:r>
    </w:p>
    <w:p>
      <w:r>
        <w:t>Read, Move, Add, Change, Delete</w:t>
      </w:r>
    </w:p>
    <w:p>
      <w:r>
        <w:t>A Three-Dimensional Governance Model Integrating</w:t>
      </w:r>
    </w:p>
    <w:p>
      <w:r>
        <w:t>Operational Permissions, Data Classification, and Autonomy Controls</w:t>
      </w:r>
    </w:p>
    <w:p>
      <w:r>
        <w:t>for Governing Autonomous AI Agents in Enterprise IT Operations</w:t>
      </w:r>
    </w:p>
    <w:p>
      <w:r>
        <w:rPr>
          <w:i/>
        </w:rPr>
        <w:t>Extending ITIL's MACD Heritage to the Agentic AI Era</w:t>
      </w:r>
    </w:p>
    <w:p>
      <w:r>
        <w:t>Version 1.4.0 | June 2026</w:t>
      </w:r>
    </w:p>
    <w:p>
      <w:r>
        <w:rPr>
          <w:b/>
        </w:rPr>
        <w:t>Author: Kash Kashyap</w:t>
      </w:r>
    </w:p>
    <w:p>
      <w:r>
        <w:rPr>
          <w:i/>
        </w:rPr>
        <w:t>Version 1.2 Update: Added Python Tools Registry reference implementation for automated tool governance.</w:t>
      </w:r>
    </w:p>
    <w:p>
      <w:r>
        <w:rPr>
          <w:i/>
        </w:rPr>
        <w:t>Version 1.2.1 Update: Corrected governance matrix defaults in SDK, fixed Appendix B profile schemas.</w:t>
      </w:r>
    </w:p>
    <w:p>
      <w:r>
        <w:rPr>
          <w:i/>
        </w:rPr>
        <w:t>Version 1.3.0 Update: Added Appendix D introducing the Data-Classification Two-Dimensional variant (DC2D), with accompanying schema, example profile, and SDK support (rmacd 0.3.0).</w:t>
      </w:r>
    </w:p>
    <w:p>
      <w:r>
        <w:rPr>
          <w:i/>
        </w:rPr>
        <w:t>Version 1.3.1 Update: Published SDK enforcement layer (PolicyEnforcer, ApprovalGateway, AuditLogger, RMACDError hierarchy) in rmacd 0.4.0; added DC2D runtime controls (Redactor, EgressGate) in rmacd 0.5.0; added programmatic agent prompt construction (`build_system_prompt`) in rmacd 0.6.0; shipped runnable reference integrations for Claude Agent SDK and the raw Anthropic SDK, and a DC2D redaction/egress demo. Two companion docs joined `docs/`: `runtime-patterns.md` and `framework-adapters.md`. A runtime-architecture draw.io diagram joined `docs/`.</w:t>
      </w:r>
    </w:p>
    <w:p>
      <w:r>
        <w:rPr>
          <w:i/>
        </w:rPr>
        <w:t>Version 1.3.2 Update: Hardened enforcement of the §12.5 safety boundary in rmacd 0.7.0 — Add/Change/Delete on Restricted data is now rejected both by `profile-3d.schema.json` (at profile-authoring time) and by an immutable runtime floor in the evaluator (at decision time), closing a gap where an `autonomy_overrides` entry could previously raise a prohibited cell. Also fixed time-window midnight wraparound, an egress allow-list substring-match bypass and scheme-less host handling, MCP keyword misclassification, and redaction-pattern issues; expanded the SDK test suite from 60 to 148 tests. See CHANGELOG.</w:t>
      </w:r>
    </w:p>
    <w:p>
      <w:r>
        <w:rPr>
          <w:i/>
        </w:rPr>
        <w:t xml:space="preserve">Version 1.4.0 SDK updates (June 2026): rmacd 0.9.1 single-sourced the package version and bundled the three profile JSON schemas into the wheel. rmacd 0.10.0 added </w:t>
      </w:r>
      <w:r>
        <w:rPr>
          <w:i/>
        </w:rPr>
        <w:t>LLM-assisted tool classification</w:t>
      </w:r>
      <w:r>
        <w:rPr>
          <w:i/>
        </w:rPr>
        <w:t xml:space="preserve"> — an optional `LLMToolClassifier` (install extra `rmacd-framework[llm]`) that has a Claude model classify ambiguous tool definitions into RMACD terms with a rationale and confidence score, wired into `MCPRegistryBridge` as a fallback (or replacement) for the keyword heuristic. Every auto-classified MCP tool now carries a capability ceiling capped at its inferred operation and classification provenance metadata, with a `low_confidence_tools()` human-review queue; the bridge registers into an existing enforcer registry and accepts raw MCP `tools/list` responses. The bash classifier learned shell control keywords, process substitution, and additional destructive binaries; registry denials are now audited. LLM classification is advisory input at registration time — runtime enforcement (the §12.5 floor, the agent profile, the capability ceiling) remains deterministic. rmacd 0.11.0 added </w:t>
      </w:r>
      <w:r>
        <w:rPr>
          <w:i/>
        </w:rPr>
        <w:t>Governance Packs</w:t>
      </w:r>
      <w:r>
        <w:rPr>
          <w:i/>
        </w:rPr>
        <w:t xml:space="preserve"> (`rmacd.packs`) — declarative, reusable, signable packs that map a tool call to RMACD terms `(operation, data tier, target)` as data instead of hand-written classifiers, with 19 built-in packs, an AI-compile authoring workflow (`rmacd classify`), and Ed25519 signing/drift detection (`rmacd pack sign|verify|diff`). Packs are an SDK capability (not normative); runtime classification stays deterministic. See `docs/governance-packs/` and CHANGELOG.</w:t>
      </w:r>
    </w:p>
    <w:p>
      <w:r>
        <w:rPr>
          <w:i/>
        </w:rPr>
        <w:t xml:space="preserve">Version 1.4.0 Update: Made the Tools Registry a first-class RMACD policy layer in rmacd 0.8.0. Each tool registers its RMACD operation, an optional dynamic classifier (args → operation/tier/target), and an optional capability ceiling; `PolicyEnforcer.enforce_tool_call(tool, args)` classifies a call through the registry and enforces </w:t>
      </w:r>
      <w:r>
        <w:rPr>
          <w:i/>
        </w:rPr>
        <w:t>profile ∩ tool capability</w:t>
      </w:r>
      <w:r>
        <w:rPr>
          <w:i/>
        </w:rPr>
        <w:t xml:space="preserve"> with the §12.5 floor, returning an audited allow/deny/approve at the tool-call boundary. This is the universal hook for a Claude Agent SDK `PreToolUse` hook, an OpenAI Agents SDK tool guardrail / `needs_approval`, or a Microsoft Agent Framework `FunctionMiddleware` (see `docs/framework-adapters.md`). The previously-standalone `tools-registry/` directory was folded into `rmacd.registry` and removed. The specification document was renamed `v1.3` → `v1.4` per the minor-release convention. See CHANGELOG.</w:t>
      </w:r>
    </w:p>
    <w:p>
      <w:pPr>
        <w:pStyle w:val="Heading1"/>
      </w:pPr>
      <w:r>
        <w:t>Abstract</w:t>
      </w:r>
    </w:p>
    <w:p>
      <w:r>
        <w:t>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r>
        <w:t>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r>
        <w:t>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pPr>
        <w:pStyle w:val="Heading1"/>
      </w:pPr>
      <w:r>
        <w:t>1. Origins: The MACD Heritage in IT Service Management</w:t>
      </w:r>
    </w:p>
    <w:p>
      <w:pPr>
        <w:pStyle w:val="Heading2"/>
      </w:pPr>
      <w:r>
        <w:t>1.1 The Birth of Operational Verbs in IT</w:t>
      </w:r>
    </w:p>
    <w:p>
      <w:r>
        <w:t>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r>
        <w:t>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Bullet"/>
      </w:pPr>
      <w:r>
        <w:rPr>
          <w:b/>
        </w:rPr>
        <w:t>Move:</w:t>
      </w:r>
      <w:r>
        <w:t xml:space="preserve"> Relocating an asset or service from one location, network segment, or logical position to another</w:t>
      </w:r>
    </w:p>
    <w:p>
      <w:pPr>
        <w:pStyle w:val="ListBullet"/>
      </w:pPr>
      <w:r>
        <w:rPr>
          <w:b/>
        </w:rPr>
        <w:t>Add:</w:t>
      </w:r>
      <w:r>
        <w:t xml:space="preserve"> Creating, provisioning, or deploying new assets, services, or configurations</w:t>
      </w:r>
    </w:p>
    <w:p>
      <w:pPr>
        <w:pStyle w:val="ListBullet"/>
      </w:pPr>
      <w:r>
        <w:rPr>
          <w:b/>
        </w:rPr>
        <w:t>Change:</w:t>
      </w:r>
      <w:r>
        <w:t xml:space="preserve"> Modifying, updating, or reconfiguring existing assets or services</w:t>
      </w:r>
    </w:p>
    <w:p>
      <w:pPr>
        <w:pStyle w:val="ListBullet"/>
      </w:pPr>
      <w:r>
        <w:rPr>
          <w:b/>
        </w:rPr>
        <w:t>Delete:</w:t>
      </w:r>
      <w:r>
        <w:t xml:space="preserve"> Removing, decommissioning, or disposing of assets or services (also termed 'Disconnect' or 'Disposal')</w:t>
      </w:r>
    </w:p>
    <w:p>
      <w:pPr>
        <w:pStyle w:val="Heading2"/>
      </w:pPr>
      <w:r>
        <w:t>1.2 Evolution Through ITIL and Service Management</w:t>
      </w:r>
    </w:p>
    <w:p>
      <w:r>
        <w:t>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r>
        <w:t>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pPr>
      <w:r>
        <w:t>1.3 The Parallel Evolution of Data Classification</w:t>
      </w:r>
    </w:p>
    <w:p>
      <w:r>
        <w:t>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Bullet"/>
      </w:pPr>
      <w:r>
        <w:rPr>
          <w:b/>
        </w:rPr>
        <w:t>Public:</w:t>
      </w:r>
      <w:r>
        <w:t xml:space="preserve"> Information freely shareable with no restrictions; disclosure poses no risk</w:t>
      </w:r>
    </w:p>
    <w:p>
      <w:pPr>
        <w:pStyle w:val="ListBullet"/>
      </w:pPr>
      <w:r>
        <w:rPr>
          <w:b/>
        </w:rPr>
        <w:t>Internal:</w:t>
      </w:r>
      <w:r>
        <w:t xml:space="preserve"> Business information for internal use only; not sensitive but requires access controls</w:t>
      </w:r>
    </w:p>
    <w:p>
      <w:pPr>
        <w:pStyle w:val="ListBullet"/>
      </w:pPr>
      <w:r>
        <w:rPr>
          <w:b/>
        </w:rPr>
        <w:t>Confidential:</w:t>
      </w:r>
      <w:r>
        <w:t xml:space="preserve"> Sensitive information whose exposure could cause legal, financial, or reputational harm</w:t>
      </w:r>
    </w:p>
    <w:p>
      <w:pPr>
        <w:pStyle w:val="ListBullet"/>
      </w:pPr>
      <w:r>
        <w:rPr>
          <w:b/>
        </w:rPr>
        <w:t>Restricted:</w:t>
      </w:r>
      <w:r>
        <w:t xml:space="preserve"> Highly sensitive information requiring maximum protection; unauthorized access could be catastrophic</w:t>
      </w:r>
    </w:p>
    <w:p>
      <w:r>
        <w:t>These two frameworks, operational verbs (MACD) and data classification, evolved independently yet are fundamentally complementary. The RMACD Framework unifies them for the first time in the context of autonomous AI agent governance.</w:t>
      </w:r>
    </w:p>
    <w:p>
      <w:pPr>
        <w:pStyle w:val="Heading2"/>
      </w:pPr>
      <w:r>
        <w:t>1.4 From Physical Assets to Autonomous Agents</w:t>
      </w:r>
    </w:p>
    <w:p>
      <w:r>
        <w:t>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r>
        <w:t>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r>
        <w:t>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pPr>
        <w:pStyle w:val="Heading1"/>
      </w:pPr>
      <w:r>
        <w:t>2. The Three-Dimensional RMACD Governance Model</w:t>
      </w:r>
    </w:p>
    <w:p>
      <w:pPr>
        <w:pStyle w:val="Heading2"/>
      </w:pPr>
      <w:r>
        <w:t>2.1 Framework Overview</w:t>
      </w:r>
    </w:p>
    <w:p>
      <w:r>
        <w:t>The RMACD Framework is built on the integration of three orthogonal dimensions, each of which contributes essential information to the governance decision:</w:t>
      </w:r>
    </w:p>
    <w:p>
      <w:pPr>
        <w:pStyle w:val="ListBullet"/>
      </w:pPr>
      <w:r>
        <w:rPr>
          <w:b/>
        </w:rPr>
        <w:t>Dimension 1 - Operational Permission (RMACD):</w:t>
      </w:r>
      <w:r>
        <w:t xml:space="preserve"> What action is the agent attempting to perform? The five operational verbs (Read, Move, Add, Change, Delete) form a graduated hierarchy of risk, from observation-only operations to potentially irreversible destructive actions.</w:t>
      </w:r>
    </w:p>
    <w:p>
      <w:pPr>
        <w:pStyle w:val="ListBullet"/>
      </w:pPr>
      <w:r>
        <w:rPr>
          <w:b/>
        </w:rPr>
        <w:t>Dimension 2 - Data Classification (PICR):</w:t>
      </w:r>
      <w:r>
        <w:t xml:space="preserve"> What is the sensitivity of the data being acted upon? The four-tier classification (Public, Internal, Confidential, Restricted) determines the potential impact of any operational action.</w:t>
      </w:r>
    </w:p>
    <w:p>
      <w:pPr>
        <w:pStyle w:val="ListBullet"/>
      </w:pPr>
      <w:r>
        <w:rPr>
          <w:b/>
        </w:rPr>
        <w:t>Dimension 3 - Autonomy Control (HITL):</w:t>
      </w:r>
      <w:r>
        <w:t xml:space="preserve"> What level of human oversight is required? The autonomy spectrum ranges from fully autonomous operation through various levels of notification and approval to complete prohibition.</w:t>
      </w:r>
    </w:p>
    <w:p>
      <w:r>
        <w:t>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pPr>
      <w:r>
        <w:t>2.2 Dimension 1: Operational Permissions (RMACD)</w:t>
      </w:r>
    </w:p>
    <w:p>
      <w:r>
        <w:t>The RMACD operational hierarchy extends traditional MACD with an explicit Read tier, creating five graduated permission levels: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Level</w:t>
            </w:r>
          </w:p>
        </w:tc>
        <w:tc>
          <w:tcPr>
            <w:tcW w:type="dxa" w:w="2412"/>
          </w:tcPr>
          <w:p>
            <w:r>
              <w:rPr>
                <w:b/>
                <w:sz w:val="19"/>
              </w:rPr>
            </w:r>
            <w:r>
              <w:rPr>
                <w:b/>
                <w:sz w:val="19"/>
              </w:rPr>
              <w:t>Operation</w:t>
            </w:r>
          </w:p>
        </w:tc>
        <w:tc>
          <w:tcPr>
            <w:tcW w:type="dxa" w:w="2412"/>
          </w:tcPr>
          <w:p>
            <w:r>
              <w:rPr>
                <w:b/>
                <w:sz w:val="19"/>
              </w:rPr>
            </w:r>
            <w:r>
              <w:rPr>
                <w:b/>
                <w:sz w:val="19"/>
              </w:rPr>
              <w:t>Risk Profile</w:t>
            </w:r>
          </w:p>
        </w:tc>
        <w:tc>
          <w:tcPr>
            <w:tcW w:type="dxa" w:w="2412"/>
          </w:tcPr>
          <w:p>
            <w:r>
              <w:rPr>
                <w:b/>
                <w:sz w:val="19"/>
              </w:rPr>
            </w:r>
            <w:r>
              <w:rPr>
                <w:b/>
                <w:sz w:val="19"/>
              </w:rPr>
              <w:t>Agent Capability</w:t>
            </w:r>
          </w:p>
        </w:tc>
      </w:tr>
      <w:tr>
        <w:tc>
          <w:tcPr>
            <w:tcW w:type="dxa" w:w="2412"/>
          </w:tcPr>
          <w:p>
            <w:r>
              <w:rPr>
                <w:sz w:val="19"/>
              </w:rPr>
            </w:r>
            <w:r>
              <w:rPr>
                <w:sz w:val="19"/>
              </w:rPr>
              <w:t>R</w:t>
            </w:r>
          </w:p>
        </w:tc>
        <w:tc>
          <w:tcPr>
            <w:tcW w:type="dxa" w:w="2412"/>
          </w:tcPr>
          <w:p>
            <w:r>
              <w:rPr>
                <w:sz w:val="19"/>
              </w:rPr>
            </w:r>
            <w:r>
              <w:rPr>
                <w:sz w:val="19"/>
              </w:rPr>
              <w:t>Read</w:t>
            </w:r>
          </w:p>
        </w:tc>
        <w:tc>
          <w:tcPr>
            <w:tcW w:type="dxa" w:w="2412"/>
          </w:tcPr>
          <w:p>
            <w:r>
              <w:rPr>
                <w:sz w:val="19"/>
              </w:rPr>
            </w:r>
            <w:r>
              <w:rPr>
                <w:sz w:val="19"/>
              </w:rPr>
              <w:t>Near-Zero (no state change)</w:t>
            </w:r>
          </w:p>
        </w:tc>
        <w:tc>
          <w:tcPr>
            <w:tcW w:type="dxa" w:w="2412"/>
          </w:tcPr>
          <w:p>
            <w:r>
              <w:rPr>
                <w:sz w:val="19"/>
              </w:rPr>
            </w:r>
            <w:r>
              <w:rPr>
                <w:sz w:val="19"/>
              </w:rPr>
              <w:t>Observe, query, analyze, report, recommend</w:t>
            </w:r>
          </w:p>
        </w:tc>
      </w:tr>
      <w:tr>
        <w:tc>
          <w:tcPr>
            <w:tcW w:type="dxa" w:w="2412"/>
          </w:tcPr>
          <w:p>
            <w:r>
              <w:rPr>
                <w:sz w:val="19"/>
              </w:rPr>
            </w:r>
            <w:r>
              <w:rPr>
                <w:sz w:val="19"/>
              </w:rPr>
              <w:t>M</w:t>
            </w:r>
          </w:p>
        </w:tc>
        <w:tc>
          <w:tcPr>
            <w:tcW w:type="dxa" w:w="2412"/>
          </w:tcPr>
          <w:p>
            <w:r>
              <w:rPr>
                <w:sz w:val="19"/>
              </w:rPr>
            </w:r>
            <w:r>
              <w:rPr>
                <w:sz w:val="19"/>
              </w:rPr>
              <w:t>Move</w:t>
            </w:r>
          </w:p>
        </w:tc>
        <w:tc>
          <w:tcPr>
            <w:tcW w:type="dxa" w:w="2412"/>
          </w:tcPr>
          <w:p>
            <w:r>
              <w:rPr>
                <w:sz w:val="19"/>
              </w:rPr>
            </w:r>
            <w:r>
              <w:rPr>
                <w:sz w:val="19"/>
              </w:rPr>
              <w:t>Low-Medium (reversible)</w:t>
            </w:r>
          </w:p>
        </w:tc>
        <w:tc>
          <w:tcPr>
            <w:tcW w:type="dxa" w:w="2412"/>
          </w:tcPr>
          <w:p>
            <w:r>
              <w:rPr>
                <w:sz w:val="19"/>
              </w:rPr>
            </w:r>
            <w:r>
              <w:rPr>
                <w:sz w:val="19"/>
              </w:rPr>
              <w:t>Relocate, transfer, migrate, reassign</w:t>
            </w:r>
          </w:p>
        </w:tc>
      </w:tr>
      <w:tr>
        <w:tc>
          <w:tcPr>
            <w:tcW w:type="dxa" w:w="2412"/>
          </w:tcPr>
          <w:p>
            <w:r>
              <w:rPr>
                <w:sz w:val="19"/>
              </w:rPr>
            </w:r>
            <w:r>
              <w:rPr>
                <w:sz w:val="19"/>
              </w:rPr>
              <w:t>A</w:t>
            </w:r>
          </w:p>
        </w:tc>
        <w:tc>
          <w:tcPr>
            <w:tcW w:type="dxa" w:w="2412"/>
          </w:tcPr>
          <w:p>
            <w:r>
              <w:rPr>
                <w:sz w:val="19"/>
              </w:rPr>
            </w:r>
            <w:r>
              <w:rPr>
                <w:sz w:val="19"/>
              </w:rPr>
              <w:t>Add</w:t>
            </w:r>
          </w:p>
        </w:tc>
        <w:tc>
          <w:tcPr>
            <w:tcW w:type="dxa" w:w="2412"/>
          </w:tcPr>
          <w:p>
            <w:r>
              <w:rPr>
                <w:sz w:val="19"/>
              </w:rPr>
            </w:r>
            <w:r>
              <w:rPr>
                <w:sz w:val="19"/>
              </w:rPr>
              <w:t>Medium (additive, auditable)</w:t>
            </w:r>
          </w:p>
        </w:tc>
        <w:tc>
          <w:tcPr>
            <w:tcW w:type="dxa" w:w="2412"/>
          </w:tcPr>
          <w:p>
            <w:r>
              <w:rPr>
                <w:sz w:val="19"/>
              </w:rPr>
            </w:r>
            <w:r>
              <w:rPr>
                <w:sz w:val="19"/>
              </w:rPr>
              <w:t>Create, provision, deploy, install</w:t>
            </w:r>
          </w:p>
        </w:tc>
      </w:tr>
      <w:tr>
        <w:tc>
          <w:tcPr>
            <w:tcW w:type="dxa" w:w="2412"/>
          </w:tcPr>
          <w:p>
            <w:r>
              <w:rPr>
                <w:sz w:val="19"/>
              </w:rPr>
            </w:r>
            <w:r>
              <w:rPr>
                <w:sz w:val="19"/>
              </w:rPr>
              <w:t>C</w:t>
            </w:r>
          </w:p>
        </w:tc>
        <w:tc>
          <w:tcPr>
            <w:tcW w:type="dxa" w:w="2412"/>
          </w:tcPr>
          <w:p>
            <w:r>
              <w:rPr>
                <w:sz w:val="19"/>
              </w:rPr>
            </w:r>
            <w:r>
              <w:rPr>
                <w:sz w:val="19"/>
              </w:rPr>
              <w:t>Change</w:t>
            </w:r>
          </w:p>
        </w:tc>
        <w:tc>
          <w:tcPr>
            <w:tcW w:type="dxa" w:w="2412"/>
          </w:tcPr>
          <w:p>
            <w:r>
              <w:rPr>
                <w:sz w:val="19"/>
              </w:rPr>
            </w:r>
            <w:r>
              <w:rPr>
                <w:sz w:val="19"/>
              </w:rPr>
              <w:t>High (state mutation)</w:t>
            </w:r>
          </w:p>
        </w:tc>
        <w:tc>
          <w:tcPr>
            <w:tcW w:type="dxa" w:w="2412"/>
          </w:tcPr>
          <w:p>
            <w:r>
              <w:rPr>
                <w:sz w:val="19"/>
              </w:rPr>
            </w:r>
            <w:r>
              <w:rPr>
                <w:sz w:val="19"/>
              </w:rPr>
              <w:t>Modify, update, reconfigure, patch</w:t>
            </w:r>
          </w:p>
        </w:tc>
      </w:tr>
      <w:tr>
        <w:tc>
          <w:tcPr>
            <w:tcW w:type="dxa" w:w="2412"/>
          </w:tcPr>
          <w:p>
            <w:r>
              <w:rPr>
                <w:sz w:val="19"/>
              </w:rPr>
            </w:r>
            <w:r>
              <w:rPr>
                <w:sz w:val="19"/>
              </w:rPr>
              <w:t>D</w:t>
            </w:r>
          </w:p>
        </w:tc>
        <w:tc>
          <w:tcPr>
            <w:tcW w:type="dxa" w:w="2412"/>
          </w:tcPr>
          <w:p>
            <w:r>
              <w:rPr>
                <w:sz w:val="19"/>
              </w:rPr>
            </w:r>
            <w:r>
              <w:rPr>
                <w:sz w:val="19"/>
              </w:rPr>
              <w:t>Delete</w:t>
            </w:r>
          </w:p>
        </w:tc>
        <w:tc>
          <w:tcPr>
            <w:tcW w:type="dxa" w:w="2412"/>
          </w:tcPr>
          <w:p>
            <w:r>
              <w:rPr>
                <w:sz w:val="19"/>
              </w:rPr>
            </w:r>
            <w:r>
              <w:rPr>
                <w:sz w:val="19"/>
              </w:rPr>
              <w:t>Critical (potentially irreversible)</w:t>
            </w:r>
          </w:p>
        </w:tc>
        <w:tc>
          <w:tcPr>
            <w:tcW w:type="dxa" w:w="2412"/>
          </w:tcPr>
          <w:p>
            <w:r>
              <w:rPr>
                <w:sz w:val="19"/>
              </w:rPr>
            </w:r>
            <w:r>
              <w:rPr>
                <w:sz w:val="19"/>
              </w:rPr>
              <w:t>Remove, decommission, terminate, purge</w:t>
            </w:r>
          </w:p>
        </w:tc>
      </w:tr>
    </w:tbl>
    <w:p/>
    <w:p>
      <w:r>
        <w:t>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pPr>
      <w:r>
        <w:t>2.3 Dimension 2: Data Classification (PICR)</w:t>
      </w:r>
    </w:p>
    <w:p>
      <w:r>
        <w:t>The RMACD Framework adopts the industry-standard four-tier data classification model, mapping each tier to specific protection requirements and agent access constraints: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Classification</w:t>
            </w:r>
          </w:p>
        </w:tc>
        <w:tc>
          <w:tcPr>
            <w:tcW w:type="dxa" w:w="3216"/>
          </w:tcPr>
          <w:p>
            <w:r>
              <w:rPr>
                <w:b/>
                <w:sz w:val="19"/>
              </w:rPr>
            </w:r>
            <w:r>
              <w:rPr>
                <w:b/>
                <w:sz w:val="19"/>
              </w:rPr>
              <w:t>Description</w:t>
            </w:r>
          </w:p>
        </w:tc>
        <w:tc>
          <w:tcPr>
            <w:tcW w:type="dxa" w:w="3216"/>
          </w:tcPr>
          <w:p>
            <w:r>
              <w:rPr>
                <w:b/>
                <w:sz w:val="19"/>
              </w:rPr>
            </w:r>
            <w:r>
              <w:rPr>
                <w:b/>
                <w:sz w:val="19"/>
              </w:rPr>
              <w:t>Examples</w:t>
            </w:r>
          </w:p>
        </w:tc>
      </w:tr>
      <w:tr>
        <w:tc>
          <w:tcPr>
            <w:tcW w:type="dxa" w:w="3216"/>
          </w:tcPr>
          <w:p>
            <w:r>
              <w:rPr>
                <w:sz w:val="19"/>
              </w:rPr>
            </w:r>
            <w:r>
              <w:rPr>
                <w:sz w:val="19"/>
              </w:rPr>
              <w:t>Public</w:t>
            </w:r>
          </w:p>
        </w:tc>
        <w:tc>
          <w:tcPr>
            <w:tcW w:type="dxa" w:w="3216"/>
          </w:tcPr>
          <w:p>
            <w:r>
              <w:rPr>
                <w:sz w:val="19"/>
              </w:rPr>
            </w:r>
            <w:r>
              <w:rPr>
                <w:sz w:val="19"/>
              </w:rPr>
              <w:t>Freely shareable; no impact from disclosure</w:t>
            </w:r>
          </w:p>
        </w:tc>
        <w:tc>
          <w:tcPr>
            <w:tcW w:type="dxa" w:w="3216"/>
          </w:tcPr>
          <w:p>
            <w:r>
              <w:rPr>
                <w:sz w:val="19"/>
              </w:rPr>
            </w:r>
            <w:r>
              <w:rPr>
                <w:sz w:val="19"/>
              </w:rPr>
              <w:t>Marketing materials, press releases, public documentation</w:t>
            </w:r>
          </w:p>
        </w:tc>
      </w:tr>
      <w:tr>
        <w:tc>
          <w:tcPr>
            <w:tcW w:type="dxa" w:w="3216"/>
          </w:tcPr>
          <w:p>
            <w:r>
              <w:rPr>
                <w:sz w:val="19"/>
              </w:rPr>
            </w:r>
            <w:r>
              <w:rPr>
                <w:sz w:val="19"/>
              </w:rPr>
              <w:t>Internal</w:t>
            </w:r>
          </w:p>
        </w:tc>
        <w:tc>
          <w:tcPr>
            <w:tcW w:type="dxa" w:w="3216"/>
          </w:tcPr>
          <w:p>
            <w:r>
              <w:rPr>
                <w:sz w:val="19"/>
              </w:rPr>
            </w:r>
            <w:r>
              <w:rPr>
                <w:sz w:val="19"/>
              </w:rPr>
              <w:t>Business use only; low impact from disclosure</w:t>
            </w:r>
          </w:p>
        </w:tc>
        <w:tc>
          <w:tcPr>
            <w:tcW w:type="dxa" w:w="3216"/>
          </w:tcPr>
          <w:p>
            <w:r>
              <w:rPr>
                <w:sz w:val="19"/>
              </w:rPr>
            </w:r>
            <w:r>
              <w:rPr>
                <w:sz w:val="19"/>
              </w:rPr>
              <w:t>Internal memos, org charts, non-sensitive procedures</w:t>
            </w:r>
          </w:p>
        </w:tc>
      </w:tr>
      <w:tr>
        <w:tc>
          <w:tcPr>
            <w:tcW w:type="dxa" w:w="3216"/>
          </w:tcPr>
          <w:p>
            <w:r>
              <w:rPr>
                <w:sz w:val="19"/>
              </w:rPr>
            </w:r>
            <w:r>
              <w:rPr>
                <w:sz w:val="19"/>
              </w:rPr>
              <w:t>Confidential</w:t>
            </w:r>
          </w:p>
        </w:tc>
        <w:tc>
          <w:tcPr>
            <w:tcW w:type="dxa" w:w="3216"/>
          </w:tcPr>
          <w:p>
            <w:r>
              <w:rPr>
                <w:sz w:val="19"/>
              </w:rPr>
            </w:r>
            <w:r>
              <w:rPr>
                <w:sz w:val="19"/>
              </w:rPr>
              <w:t>Sensitive; significant harm from disclosure</w:t>
            </w:r>
          </w:p>
        </w:tc>
        <w:tc>
          <w:tcPr>
            <w:tcW w:type="dxa" w:w="3216"/>
          </w:tcPr>
          <w:p>
            <w:r>
              <w:rPr>
                <w:sz w:val="19"/>
              </w:rPr>
            </w:r>
            <w:r>
              <w:rPr>
                <w:sz w:val="19"/>
              </w:rPr>
              <w:t>Customer PII, financial data, contracts, HR records</w:t>
            </w:r>
          </w:p>
        </w:tc>
      </w:tr>
      <w:tr>
        <w:tc>
          <w:tcPr>
            <w:tcW w:type="dxa" w:w="3216"/>
          </w:tcPr>
          <w:p>
            <w:r>
              <w:rPr>
                <w:sz w:val="19"/>
              </w:rPr>
            </w:r>
            <w:r>
              <w:rPr>
                <w:sz w:val="19"/>
              </w:rPr>
              <w:t>Restricted</w:t>
            </w:r>
          </w:p>
        </w:tc>
        <w:tc>
          <w:tcPr>
            <w:tcW w:type="dxa" w:w="3216"/>
          </w:tcPr>
          <w:p>
            <w:r>
              <w:rPr>
                <w:sz w:val="19"/>
              </w:rPr>
            </w:r>
            <w:r>
              <w:rPr>
                <w:sz w:val="19"/>
              </w:rPr>
              <w:t>Highly sensitive; severe/catastrophic harm</w:t>
            </w:r>
          </w:p>
        </w:tc>
        <w:tc>
          <w:tcPr>
            <w:tcW w:type="dxa" w:w="3216"/>
          </w:tcPr>
          <w:p>
            <w:r>
              <w:rPr>
                <w:sz w:val="19"/>
              </w:rPr>
            </w:r>
            <w:r>
              <w:rPr>
                <w:sz w:val="19"/>
              </w:rPr>
              <w:t>Trade secrets, PHI, payment card data, credentials</w:t>
            </w:r>
          </w:p>
        </w:tc>
      </w:tr>
    </w:tbl>
    <w:p/>
    <w:p>
      <w:r>
        <w:t>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pPr>
      <w:r>
        <w:t>2.4 Dimension 3: Autonomy Control (HITL Levels)</w:t>
      </w:r>
    </w:p>
    <w:p>
      <w:r>
        <w:t>The third dimension specifies the required level of human-in-the-loop (HITL) oversight for any operation. The RMACD Framework defines six autonomy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Description</w:t>
            </w:r>
          </w:p>
        </w:tc>
        <w:tc>
          <w:tcPr>
            <w:tcW w:type="dxa" w:w="3216"/>
          </w:tcPr>
          <w:p>
            <w:r>
              <w:rPr>
                <w:b/>
                <w:sz w:val="19"/>
              </w:rPr>
            </w:r>
            <w:r>
              <w:rPr>
                <w:b/>
                <w:sz w:val="19"/>
              </w:rPr>
              <w:t>Use Case</w:t>
            </w:r>
          </w:p>
        </w:tc>
      </w:tr>
      <w:tr>
        <w:tc>
          <w:tcPr>
            <w:tcW w:type="dxa" w:w="3216"/>
          </w:tcPr>
          <w:p>
            <w:r>
              <w:rPr>
                <w:sz w:val="19"/>
              </w:rPr>
            </w:r>
            <w:r>
              <w:rPr>
                <w:sz w:val="19"/>
              </w:rPr>
              <w:t>Autonomous</w:t>
            </w:r>
          </w:p>
        </w:tc>
        <w:tc>
          <w:tcPr>
            <w:tcW w:type="dxa" w:w="3216"/>
          </w:tcPr>
          <w:p>
            <w:r>
              <w:rPr>
                <w:sz w:val="19"/>
              </w:rPr>
            </w:r>
            <w:r>
              <w:rPr>
                <w:sz w:val="19"/>
              </w:rPr>
              <w:t>No human oversight required</w:t>
            </w:r>
          </w:p>
        </w:tc>
        <w:tc>
          <w:tcPr>
            <w:tcW w:type="dxa" w:w="3216"/>
          </w:tcPr>
          <w:p>
            <w:r>
              <w:rPr>
                <w:sz w:val="19"/>
              </w:rPr>
            </w:r>
            <w:r>
              <w:rPr>
                <w:sz w:val="19"/>
              </w:rPr>
              <w:t>Low-risk operations on non-sensitive data</w:t>
            </w:r>
          </w:p>
        </w:tc>
      </w:tr>
      <w:tr>
        <w:tc>
          <w:tcPr>
            <w:tcW w:type="dxa" w:w="3216"/>
          </w:tcPr>
          <w:p>
            <w:r>
              <w:rPr>
                <w:sz w:val="19"/>
              </w:rPr>
            </w:r>
            <w:r>
              <w:rPr>
                <w:sz w:val="19"/>
              </w:rPr>
              <w:t>Logged</w:t>
            </w:r>
          </w:p>
        </w:tc>
        <w:tc>
          <w:tcPr>
            <w:tcW w:type="dxa" w:w="3216"/>
          </w:tcPr>
          <w:p>
            <w:r>
              <w:rPr>
                <w:sz w:val="19"/>
              </w:rPr>
            </w:r>
            <w:r>
              <w:rPr>
                <w:sz w:val="19"/>
              </w:rPr>
              <w:t>Autonomous with enhanced audit trail</w:t>
            </w:r>
          </w:p>
        </w:tc>
        <w:tc>
          <w:tcPr>
            <w:tcW w:type="dxa" w:w="3216"/>
          </w:tcPr>
          <w:p>
            <w:r>
              <w:rPr>
                <w:sz w:val="19"/>
              </w:rPr>
            </w:r>
            <w:r>
              <w:rPr>
                <w:sz w:val="19"/>
              </w:rPr>
              <w:t>Moderate-risk operations requiring traceability</w:t>
            </w:r>
          </w:p>
        </w:tc>
      </w:tr>
      <w:tr>
        <w:tc>
          <w:tcPr>
            <w:tcW w:type="dxa" w:w="3216"/>
          </w:tcPr>
          <w:p>
            <w:r>
              <w:rPr>
                <w:sz w:val="19"/>
              </w:rPr>
            </w:r>
            <w:r>
              <w:rPr>
                <w:sz w:val="19"/>
              </w:rPr>
              <w:t>Notification</w:t>
            </w:r>
          </w:p>
        </w:tc>
        <w:tc>
          <w:tcPr>
            <w:tcW w:type="dxa" w:w="3216"/>
          </w:tcPr>
          <w:p>
            <w:r>
              <w:rPr>
                <w:sz w:val="19"/>
              </w:rPr>
            </w:r>
            <w:r>
              <w:rPr>
                <w:sz w:val="19"/>
              </w:rPr>
              <w:t>Human notified; no approval required</w:t>
            </w:r>
          </w:p>
        </w:tc>
        <w:tc>
          <w:tcPr>
            <w:tcW w:type="dxa" w:w="3216"/>
          </w:tcPr>
          <w:p>
            <w:r>
              <w:rPr>
                <w:sz w:val="19"/>
              </w:rPr>
            </w:r>
            <w:r>
              <w:rPr>
                <w:sz w:val="19"/>
              </w:rPr>
              <w:t>Operations requiring awareness but not blocking</w:t>
            </w:r>
          </w:p>
        </w:tc>
      </w:tr>
      <w:tr>
        <w:tc>
          <w:tcPr>
            <w:tcW w:type="dxa" w:w="3216"/>
          </w:tcPr>
          <w:p>
            <w:r>
              <w:rPr>
                <w:sz w:val="19"/>
              </w:rPr>
            </w:r>
            <w:r>
              <w:rPr>
                <w:sz w:val="19"/>
              </w:rPr>
              <w:t>Approval</w:t>
            </w:r>
          </w:p>
        </w:tc>
        <w:tc>
          <w:tcPr>
            <w:tcW w:type="dxa" w:w="3216"/>
          </w:tcPr>
          <w:p>
            <w:r>
              <w:rPr>
                <w:sz w:val="19"/>
              </w:rPr>
            </w:r>
            <w:r>
              <w:rPr>
                <w:sz w:val="19"/>
              </w:rPr>
              <w:t>Human approval required before execution</w:t>
            </w:r>
          </w:p>
        </w:tc>
        <w:tc>
          <w:tcPr>
            <w:tcW w:type="dxa" w:w="3216"/>
          </w:tcPr>
          <w:p>
            <w:r>
              <w:rPr>
                <w:sz w:val="19"/>
              </w:rPr>
            </w:r>
            <w:r>
              <w:rPr>
                <w:sz w:val="19"/>
              </w:rPr>
              <w:t>Significant operations requiring explicit consent</w:t>
            </w:r>
          </w:p>
        </w:tc>
      </w:tr>
      <w:tr>
        <w:tc>
          <w:tcPr>
            <w:tcW w:type="dxa" w:w="3216"/>
          </w:tcPr>
          <w:p>
            <w:r>
              <w:rPr>
                <w:sz w:val="19"/>
              </w:rPr>
            </w:r>
            <w:r>
              <w:rPr>
                <w:sz w:val="19"/>
              </w:rPr>
              <w:t>Elevated Approval</w:t>
            </w:r>
          </w:p>
        </w:tc>
        <w:tc>
          <w:tcPr>
            <w:tcW w:type="dxa" w:w="3216"/>
          </w:tcPr>
          <w:p>
            <w:r>
              <w:rPr>
                <w:sz w:val="19"/>
              </w:rPr>
            </w:r>
            <w:r>
              <w:rPr>
                <w:sz w:val="19"/>
              </w:rPr>
              <w:t>Senior/CAB approval required</w:t>
            </w:r>
          </w:p>
        </w:tc>
        <w:tc>
          <w:tcPr>
            <w:tcW w:type="dxa" w:w="3216"/>
          </w:tcPr>
          <w:p>
            <w:r>
              <w:rPr>
                <w:sz w:val="19"/>
              </w:rPr>
            </w:r>
            <w:r>
              <w:rPr>
                <w:sz w:val="19"/>
              </w:rPr>
              <w:t>High-risk operations on sensitive data</w:t>
            </w:r>
          </w:p>
        </w:tc>
      </w:tr>
      <w:tr>
        <w:tc>
          <w:tcPr>
            <w:tcW w:type="dxa" w:w="3216"/>
          </w:tcPr>
          <w:p>
            <w:r>
              <w:rPr>
                <w:sz w:val="19"/>
              </w:rPr>
            </w:r>
            <w:r>
              <w:rPr>
                <w:sz w:val="19"/>
              </w:rPr>
              <w:t>Prohibited</w:t>
            </w:r>
          </w:p>
        </w:tc>
        <w:tc>
          <w:tcPr>
            <w:tcW w:type="dxa" w:w="3216"/>
          </w:tcPr>
          <w:p>
            <w:r>
              <w:rPr>
                <w:sz w:val="19"/>
              </w:rPr>
            </w:r>
            <w:r>
              <w:rPr>
                <w:sz w:val="19"/>
              </w:rPr>
              <w:t>Operation not permitted for agents</w:t>
            </w:r>
          </w:p>
        </w:tc>
        <w:tc>
          <w:tcPr>
            <w:tcW w:type="dxa" w:w="3216"/>
          </w:tcPr>
          <w:p>
            <w:r>
              <w:rPr>
                <w:sz w:val="19"/>
              </w:rPr>
            </w:r>
            <w:r>
              <w:rPr>
                <w:sz w:val="19"/>
              </w:rPr>
              <w:t>Catastrophic-risk operations; human-only</w:t>
            </w:r>
          </w:p>
        </w:tc>
      </w:tr>
    </w:tbl>
    <w:p/>
    <w:p>
      <w:pPr>
        <w:pStyle w:val="Heading1"/>
      </w:pPr>
      <w:r>
        <w:t>3. The Integrated RMACD Governance Matrix</w:t>
      </w:r>
    </w:p>
    <w:p>
      <w:pPr>
        <w:pStyle w:val="Heading2"/>
      </w:pPr>
      <w:r>
        <w:t>3.1 The Complete Three-Dimensional Model</w:t>
      </w:r>
    </w:p>
    <w:p>
      <w:r>
        <w:t>The intersection of RMACD operations and data classification tiers produces a 5×4 matrix, where each cell specifies the required autonomy control level. This matrix serves as the definitive governance reference for AI agent operations: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Operation</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Autonomous</w:t>
            </w:r>
          </w:p>
        </w:tc>
        <w:tc>
          <w:tcPr>
            <w:tcW w:type="dxa" w:w="1930"/>
          </w:tcPr>
          <w:p>
            <w:r>
              <w:rPr>
                <w:sz w:val="19"/>
              </w:rPr>
            </w:r>
            <w:r>
              <w:rPr>
                <w:sz w:val="19"/>
              </w:rPr>
              <w:t>Autonomous</w:t>
            </w:r>
          </w:p>
        </w:tc>
        <w:tc>
          <w:tcPr>
            <w:tcW w:type="dxa" w:w="1930"/>
          </w:tcPr>
          <w:p>
            <w:r>
              <w:rPr>
                <w:sz w:val="19"/>
              </w:rPr>
            </w:r>
            <w:r>
              <w:rPr>
                <w:sz w:val="19"/>
              </w:rPr>
              <w:t>Logged</w:t>
            </w:r>
          </w:p>
        </w:tc>
        <w:tc>
          <w:tcPr>
            <w:tcW w:type="dxa" w:w="1930"/>
          </w:tcPr>
          <w:p>
            <w:r>
              <w:rPr>
                <w:sz w:val="19"/>
              </w:rPr>
            </w:r>
            <w:r>
              <w:rPr>
                <w:sz w:val="19"/>
              </w:rPr>
              <w:t>Notification</w:t>
            </w:r>
          </w:p>
        </w:tc>
      </w:tr>
      <w:tr>
        <w:tc>
          <w:tcPr>
            <w:tcW w:type="dxa" w:w="1930"/>
          </w:tcPr>
          <w:p>
            <w:r>
              <w:rPr>
                <w:sz w:val="19"/>
              </w:rPr>
            </w:r>
            <w:r>
              <w:rPr>
                <w:sz w:val="19"/>
              </w:rPr>
              <w:t>Move</w:t>
            </w:r>
          </w:p>
        </w:tc>
        <w:tc>
          <w:tcPr>
            <w:tcW w:type="dxa" w:w="1930"/>
          </w:tcPr>
          <w:p>
            <w:r>
              <w:rPr>
                <w:sz w:val="19"/>
              </w:rPr>
            </w:r>
            <w:r>
              <w:rPr>
                <w:sz w:val="19"/>
              </w:rPr>
              <w:t>Autonomous</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r>
      <w:tr>
        <w:tc>
          <w:tcPr>
            <w:tcW w:type="dxa" w:w="1930"/>
          </w:tcPr>
          <w:p>
            <w:r>
              <w:rPr>
                <w:sz w:val="19"/>
              </w:rPr>
            </w:r>
            <w:r>
              <w:rPr>
                <w:sz w:val="19"/>
              </w:rPr>
              <w:t>Add</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r>
      <w:tr>
        <w:tc>
          <w:tcPr>
            <w:tcW w:type="dxa" w:w="1930"/>
          </w:tcPr>
          <w:p>
            <w:r>
              <w:rPr>
                <w:sz w:val="19"/>
              </w:rPr>
            </w:r>
            <w:r>
              <w:rPr>
                <w:sz w:val="19"/>
              </w:rPr>
              <w:t>Change</w:t>
            </w:r>
          </w:p>
        </w:tc>
        <w:tc>
          <w:tcPr>
            <w:tcW w:type="dxa" w:w="1930"/>
          </w:tcPr>
          <w:p>
            <w:r>
              <w:rPr>
                <w:sz w:val="19"/>
              </w:rPr>
            </w:r>
            <w:r>
              <w:rPr>
                <w:sz w:val="19"/>
              </w:rPr>
              <w:t>Approval</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Delete</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c>
          <w:tcPr>
            <w:tcW w:type="dxa" w:w="1930"/>
          </w:tcPr>
          <w:p>
            <w:r>
              <w:rPr>
                <w:sz w:val="19"/>
              </w:rPr>
            </w:r>
            <w:r>
              <w:rPr>
                <w:sz w:val="19"/>
              </w:rPr>
              <w:t>Prohibited</w:t>
            </w:r>
          </w:p>
        </w:tc>
      </w:tr>
    </w:tbl>
    <w:p/>
    <w:p>
      <w:r>
        <w:t>This matrix represents the default governance posture. Organizations may adjust individual cells based on their risk tolerance, regulatory requirements, and operational maturity, but the matrix provides a sound baseline for initial deployment.</w:t>
      </w:r>
    </w:p>
    <w:p>
      <w:pPr>
        <w:pStyle w:val="Heading2"/>
      </w:pPr>
      <w:r>
        <w:t>3.2 Interpreting the Matrix</w:t>
      </w:r>
    </w:p>
    <w:p>
      <w:r>
        <w:t>The matrix encodes several fundamental governance principles:</w:t>
      </w:r>
    </w:p>
    <w:p>
      <w:pPr>
        <w:pStyle w:val="ListBullet"/>
      </w:pPr>
      <w:r>
        <w:rPr>
          <w:b/>
        </w:rPr>
        <w:t>Risk Compounds Across Dimensions:</w:t>
      </w:r>
      <w:r>
        <w:t xml:space="preserve"> Both higher-risk operations (moving down the RMACD hierarchy) and higher-sensitivity data (moving right across classification tiers) independently increase the required oversight level. The combination of both produces the most restrictive controls.</w:t>
      </w:r>
    </w:p>
    <w:p>
      <w:pPr>
        <w:pStyle w:val="ListBullet"/>
      </w:pPr>
      <w:r>
        <w:rPr>
          <w:b/>
        </w:rPr>
        <w:t>Read Operations Remain Low-Risk Across Classifications:</w:t>
      </w:r>
      <w:r>
        <w:t xml:space="preserve"> Even against Restricted data, Read operations require only notification-level oversight because they cannot alter system state. However, enhanced logging ensures accountability and audit capability.</w:t>
      </w:r>
    </w:p>
    <w:p>
      <w:pPr>
        <w:pStyle w:val="ListBullet"/>
      </w:pPr>
      <w:r>
        <w:rPr>
          <w:b/>
        </w:rPr>
        <w:t>Destructive Operations on Sensitive Data Are Prohibited:</w:t>
      </w:r>
      <w:r>
        <w:t xml:space="preserve"> Change and Delete operations against Restricted data are marked 'Prohibited' for autonomous agents. These operations require human execution, though agents may recommend or prepare such actions.</w:t>
      </w:r>
    </w:p>
    <w:p>
      <w:pPr>
        <w:pStyle w:val="ListBullet"/>
      </w:pPr>
      <w:r>
        <w:rPr>
          <w:b/>
        </w:rPr>
        <w:t>The 'Approval' Threshold Shifts Left with Risk:</w:t>
      </w:r>
      <w:r>
        <w:t xml:space="preserve"> For low-risk operations (Read, Move), approval requirements only appear at higher data classifications. For high-risk operations (Change, Delete), approval is required even for Public data.</w:t>
      </w:r>
    </w:p>
    <w:p>
      <w:pPr>
        <w:pStyle w:val="Heading2"/>
      </w:pPr>
      <w:r>
        <w:t>3.3 Approval Authority Mapping</w:t>
      </w:r>
    </w:p>
    <w:p>
      <w:r>
        <w:t>Each autonomy level maps to specific approval authorities, enabling integration with existing organizational governance structures: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Approval Authority</w:t>
            </w:r>
          </w:p>
        </w:tc>
        <w:tc>
          <w:tcPr>
            <w:tcW w:type="dxa" w:w="3216"/>
          </w:tcPr>
          <w:p>
            <w:r>
              <w:rPr>
                <w:b/>
                <w:sz w:val="19"/>
              </w:rPr>
            </w:r>
            <w:r>
              <w:rPr>
                <w:b/>
                <w:sz w:val="19"/>
              </w:rPr>
              <w:t>Audit Requirement</w:t>
            </w:r>
          </w:p>
        </w:tc>
      </w:tr>
      <w:tr>
        <w:tc>
          <w:tcPr>
            <w:tcW w:type="dxa" w:w="3216"/>
          </w:tcPr>
          <w:p>
            <w:r>
              <w:rPr>
                <w:sz w:val="19"/>
              </w:rPr>
            </w:r>
            <w:r>
              <w:rPr>
                <w:sz w:val="19"/>
              </w:rPr>
              <w:t>Autonomous</w:t>
            </w:r>
          </w:p>
        </w:tc>
        <w:tc>
          <w:tcPr>
            <w:tcW w:type="dxa" w:w="3216"/>
          </w:tcPr>
          <w:p>
            <w:r>
              <w:rPr>
                <w:sz w:val="19"/>
              </w:rPr>
            </w:r>
            <w:r>
              <w:rPr>
                <w:sz w:val="19"/>
              </w:rPr>
              <w:t>Pre-authorized (no approval)</w:t>
            </w:r>
          </w:p>
        </w:tc>
        <w:tc>
          <w:tcPr>
            <w:tcW w:type="dxa" w:w="3216"/>
          </w:tcPr>
          <w:p>
            <w:r>
              <w:rPr>
                <w:sz w:val="19"/>
              </w:rPr>
            </w:r>
            <w:r>
              <w:rPr>
                <w:sz w:val="19"/>
              </w:rPr>
              <w:t>Standard operational logging</w:t>
            </w:r>
          </w:p>
        </w:tc>
      </w:tr>
      <w:tr>
        <w:tc>
          <w:tcPr>
            <w:tcW w:type="dxa" w:w="3216"/>
          </w:tcPr>
          <w:p>
            <w:r>
              <w:rPr>
                <w:sz w:val="19"/>
              </w:rPr>
            </w:r>
            <w:r>
              <w:rPr>
                <w:sz w:val="19"/>
              </w:rPr>
              <w:t>Logged</w:t>
            </w:r>
          </w:p>
        </w:tc>
        <w:tc>
          <w:tcPr>
            <w:tcW w:type="dxa" w:w="3216"/>
          </w:tcPr>
          <w:p>
            <w:r>
              <w:rPr>
                <w:sz w:val="19"/>
              </w:rPr>
            </w:r>
            <w:r>
              <w:rPr>
                <w:sz w:val="19"/>
              </w:rPr>
              <w:t>Pre-authorized (no approval)</w:t>
            </w:r>
          </w:p>
        </w:tc>
        <w:tc>
          <w:tcPr>
            <w:tcW w:type="dxa" w:w="3216"/>
          </w:tcPr>
          <w:p>
            <w:r>
              <w:rPr>
                <w:sz w:val="19"/>
              </w:rPr>
            </w:r>
            <w:r>
              <w:rPr>
                <w:sz w:val="19"/>
              </w:rPr>
              <w:t>Enhanced logging with retention</w:t>
            </w:r>
          </w:p>
        </w:tc>
      </w:tr>
      <w:tr>
        <w:tc>
          <w:tcPr>
            <w:tcW w:type="dxa" w:w="3216"/>
          </w:tcPr>
          <w:p>
            <w:r>
              <w:rPr>
                <w:sz w:val="19"/>
              </w:rPr>
            </w:r>
            <w:r>
              <w:rPr>
                <w:sz w:val="19"/>
              </w:rPr>
              <w:t>Notification</w:t>
            </w:r>
          </w:p>
        </w:tc>
        <w:tc>
          <w:tcPr>
            <w:tcW w:type="dxa" w:w="3216"/>
          </w:tcPr>
          <w:p>
            <w:r>
              <w:rPr>
                <w:sz w:val="19"/>
              </w:rPr>
            </w:r>
            <w:r>
              <w:rPr>
                <w:sz w:val="19"/>
              </w:rPr>
              <w:t>Agent Owner / Operator</w:t>
            </w:r>
          </w:p>
        </w:tc>
        <w:tc>
          <w:tcPr>
            <w:tcW w:type="dxa" w:w="3216"/>
          </w:tcPr>
          <w:p>
            <w:r>
              <w:rPr>
                <w:sz w:val="19"/>
              </w:rPr>
            </w:r>
            <w:r>
              <w:rPr>
                <w:sz w:val="19"/>
              </w:rPr>
              <w:t>Action logging + notification record</w:t>
            </w:r>
          </w:p>
        </w:tc>
      </w:tr>
      <w:tr>
        <w:tc>
          <w:tcPr>
            <w:tcW w:type="dxa" w:w="3216"/>
          </w:tcPr>
          <w:p>
            <w:r>
              <w:rPr>
                <w:sz w:val="19"/>
              </w:rPr>
            </w:r>
            <w:r>
              <w:rPr>
                <w:sz w:val="19"/>
              </w:rPr>
              <w:t>Approval</w:t>
            </w:r>
          </w:p>
        </w:tc>
        <w:tc>
          <w:tcPr>
            <w:tcW w:type="dxa" w:w="3216"/>
          </w:tcPr>
          <w:p>
            <w:r>
              <w:rPr>
                <w:sz w:val="19"/>
              </w:rPr>
            </w:r>
            <w:r>
              <w:rPr>
                <w:sz w:val="19"/>
              </w:rPr>
              <w:t>Team Lead / Change Manager</w:t>
            </w:r>
          </w:p>
        </w:tc>
        <w:tc>
          <w:tcPr>
            <w:tcW w:type="dxa" w:w="3216"/>
          </w:tcPr>
          <w:p>
            <w:r>
              <w:rPr>
                <w:sz w:val="19"/>
              </w:rPr>
            </w:r>
            <w:r>
              <w:rPr>
                <w:sz w:val="19"/>
              </w:rPr>
              <w:t>RFC documentation + approval chain</w:t>
            </w:r>
          </w:p>
        </w:tc>
      </w:tr>
      <w:tr>
        <w:tc>
          <w:tcPr>
            <w:tcW w:type="dxa" w:w="3216"/>
          </w:tcPr>
          <w:p>
            <w:r>
              <w:rPr>
                <w:sz w:val="19"/>
              </w:rPr>
            </w:r>
            <w:r>
              <w:rPr>
                <w:sz w:val="19"/>
              </w:rPr>
              <w:t>Elevated Approval</w:t>
            </w:r>
          </w:p>
        </w:tc>
        <w:tc>
          <w:tcPr>
            <w:tcW w:type="dxa" w:w="3216"/>
          </w:tcPr>
          <w:p>
            <w:r>
              <w:rPr>
                <w:sz w:val="19"/>
              </w:rPr>
            </w:r>
            <w:r>
              <w:rPr>
                <w:sz w:val="19"/>
              </w:rPr>
              <w:t>CAB / Senior Management / CISO</w:t>
            </w:r>
          </w:p>
        </w:tc>
        <w:tc>
          <w:tcPr>
            <w:tcW w:type="dxa" w:w="3216"/>
          </w:tcPr>
          <w:p>
            <w:r>
              <w:rPr>
                <w:sz w:val="19"/>
              </w:rPr>
            </w:r>
            <w:r>
              <w:rPr>
                <w:sz w:val="19"/>
              </w:rPr>
              <w:t>Full RFC + impact assessment + PIR</w:t>
            </w:r>
          </w:p>
        </w:tc>
      </w:tr>
      <w:tr>
        <w:tc>
          <w:tcPr>
            <w:tcW w:type="dxa" w:w="3216"/>
          </w:tcPr>
          <w:p>
            <w:r>
              <w:rPr>
                <w:sz w:val="19"/>
              </w:rPr>
            </w:r>
            <w:r>
              <w:rPr>
                <w:sz w:val="19"/>
              </w:rPr>
              <w:t>Prohibited</w:t>
            </w:r>
          </w:p>
        </w:tc>
        <w:tc>
          <w:tcPr>
            <w:tcW w:type="dxa" w:w="3216"/>
          </w:tcPr>
          <w:p>
            <w:r>
              <w:rPr>
                <w:sz w:val="19"/>
              </w:rPr>
            </w:r>
            <w:r>
              <w:rPr>
                <w:sz w:val="19"/>
              </w:rPr>
              <w:t>Human execution only</w:t>
            </w:r>
          </w:p>
        </w:tc>
        <w:tc>
          <w:tcPr>
            <w:tcW w:type="dxa" w:w="3216"/>
          </w:tcPr>
          <w:p>
            <w:r>
              <w:rPr>
                <w:sz w:val="19"/>
              </w:rPr>
            </w:r>
            <w:r>
              <w:rPr>
                <w:sz w:val="19"/>
              </w:rPr>
              <w:t>N/A for agents; human audit applies</w:t>
            </w:r>
          </w:p>
        </w:tc>
      </w:tr>
    </w:tbl>
    <w:p/>
    <w:p>
      <w:pPr>
        <w:pStyle w:val="Heading1"/>
      </w:pPr>
      <w:r>
        <w:t>4. Read Operations: The Foundation of Safe Autonomy</w:t>
      </w:r>
    </w:p>
    <w:p>
      <w:pPr>
        <w:pStyle w:val="Heading2"/>
      </w:pPr>
      <w:r>
        <w:t>4.1 Definition and Scope</w:t>
      </w:r>
    </w:p>
    <w:p>
      <w:r>
        <w:t>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ListBullet"/>
      </w:pPr>
      <w:r>
        <w:rPr>
          <w:b/>
        </w:rPr>
        <w:t>Core Read Capabilities:</w:t>
      </w:r>
      <w:r>
        <w:t xml:space="preserve"> Query databases and APIs, access file contents, retrieve configuration states, monitor system metrics, analyze logs, scan network states, examine user activity, and synthesize information from multiple sources.</w:t>
      </w:r>
    </w:p>
    <w:p>
      <w:pPr>
        <w:pStyle w:val="ListBullet"/>
      </w:pPr>
      <w:r>
        <w:rPr>
          <w:b/>
        </w:rPr>
        <w:t>Read Outputs:</w:t>
      </w:r>
      <w:r>
        <w:t xml:space="preserve"> Dashboards, reports, alerts, recommendations, anomaly notifications, compliance assessments, and knowledge artifacts. Critically, Read operations produce information but do not execute changes.</w:t>
      </w:r>
    </w:p>
    <w:p>
      <w:pPr>
        <w:pStyle w:val="Heading2"/>
      </w:pPr>
      <w:r>
        <w:t>4.2 Why Read as a Distinct Tier</w:t>
      </w:r>
    </w:p>
    <w:p>
      <w:r>
        <w:t>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r>
        <w:t>However, when an autonomous AI agent performs Read operations, the distinction becomes critical for several reasons:</w:t>
      </w:r>
    </w:p>
    <w:p>
      <w:pPr>
        <w:pStyle w:val="ListBullet"/>
      </w:pPr>
      <w:r>
        <w:rPr>
          <w:b/>
        </w:rPr>
        <w:t>Safe Onboarding:</w:t>
      </w:r>
      <w:r>
        <w:t xml:space="preserve"> New AI agents can be deployed with Read-only permissions, allowing observation and learning without operational risk. Organizations can evaluate agent behavior before granting mutative permissions.</w:t>
      </w:r>
    </w:p>
    <w:p>
      <w:pPr>
        <w:pStyle w:val="ListBullet"/>
      </w:pPr>
      <w:r>
        <w:rPr>
          <w:b/>
        </w:rPr>
        <w:t>Separation of Concerns:</w:t>
      </w:r>
      <w:r>
        <w:t xml:space="preserve"> Read-only agents can perform continuous monitoring, analysis, and recommendation generation while separate agents (or humans) execute approved changes.</w:t>
      </w:r>
    </w:p>
    <w:p>
      <w:pPr>
        <w:pStyle w:val="ListBullet"/>
      </w:pPr>
      <w:r>
        <w:rPr>
          <w:b/>
        </w:rPr>
        <w:t>Evidence Integrity:</w:t>
      </w:r>
      <w:r>
        <w:t xml:space="preserve"> In compliance and forensic contexts, Read-only access ensures the agent cannot alter the data it examines, maintaining evidentiary chain of custody.</w:t>
      </w:r>
    </w:p>
    <w:p>
      <w:pPr>
        <w:pStyle w:val="ListBullet"/>
      </w:pPr>
      <w:r>
        <w:rPr>
          <w:b/>
        </w:rPr>
        <w:t>Progressive Trust:</w:t>
      </w:r>
      <w:r>
        <w:t xml:space="preserve"> The Read tier enables a graduated trust model where agents earn expanded permissions over time based on demonstrated reliable behavior.</w:t>
      </w:r>
    </w:p>
    <w:p>
      <w:pPr>
        <w:pStyle w:val="Heading2"/>
      </w:pPr>
      <w:r>
        <w:t>4.3 Read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Logging Requirement</w:t>
            </w:r>
          </w:p>
        </w:tc>
        <w:tc>
          <w:tcPr>
            <w:tcW w:type="dxa" w:w="2412"/>
          </w:tcPr>
          <w:p>
            <w:r>
              <w:rPr>
                <w:b/>
                <w:sz w:val="19"/>
              </w:rPr>
            </w:r>
            <w:r>
              <w:rPr>
                <w:b/>
                <w:sz w:val="19"/>
              </w:rPr>
              <w:t>Rationale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Zero harm from disclosure</w:t>
            </w:r>
          </w:p>
        </w:tc>
      </w:tr>
      <w:tr>
        <w:tc>
          <w:tcPr>
            <w:tcW w:type="dxa" w:w="2412"/>
          </w:tcPr>
          <w:p>
            <w:r>
              <w:rPr>
                <w:sz w:val="19"/>
              </w:rPr>
            </w:r>
            <w:r>
              <w:rPr>
                <w:sz w:val="19"/>
              </w:rPr>
              <w:t>Internal</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Low harm; business context only</w:t>
            </w:r>
          </w:p>
        </w:tc>
      </w:tr>
      <w:tr>
        <w:tc>
          <w:tcPr>
            <w:tcW w:type="dxa" w:w="2412"/>
          </w:tcPr>
          <w:p>
            <w:r>
              <w:rPr>
                <w:sz w:val="19"/>
              </w:rPr>
            </w:r>
            <w:r>
              <w:rPr>
                <w:sz w:val="19"/>
              </w:rPr>
              <w:t>Confidential</w:t>
            </w:r>
          </w:p>
        </w:tc>
        <w:tc>
          <w:tcPr>
            <w:tcW w:type="dxa" w:w="2412"/>
          </w:tcPr>
          <w:p>
            <w:r>
              <w:rPr>
                <w:sz w:val="19"/>
              </w:rPr>
            </w:r>
            <w:r>
              <w:rPr>
                <w:sz w:val="19"/>
              </w:rPr>
              <w:t>Logged</w:t>
            </w:r>
          </w:p>
        </w:tc>
        <w:tc>
          <w:tcPr>
            <w:tcW w:type="dxa" w:w="2412"/>
          </w:tcPr>
          <w:p>
            <w:r>
              <w:rPr>
                <w:sz w:val="19"/>
              </w:rPr>
            </w:r>
            <w:r>
              <w:rPr>
                <w:sz w:val="19"/>
              </w:rPr>
              <w:t>Enhanced audit trail; 90-day retention</w:t>
            </w:r>
          </w:p>
        </w:tc>
        <w:tc>
          <w:tcPr>
            <w:tcW w:type="dxa" w:w="2412"/>
          </w:tcPr>
          <w:p>
            <w:r>
              <w:rPr>
                <w:sz w:val="19"/>
              </w:rPr>
            </w:r>
            <w:r>
              <w:rPr>
                <w:sz w:val="19"/>
              </w:rPr>
              <w:t>Compliance; breach notification prep</w:t>
            </w:r>
          </w:p>
        </w:tc>
      </w:tr>
      <w:tr>
        <w:tc>
          <w:tcPr>
            <w:tcW w:type="dxa" w:w="2412"/>
          </w:tcPr>
          <w:p>
            <w:r>
              <w:rPr>
                <w:sz w:val="19"/>
              </w:rPr>
            </w:r>
            <w:r>
              <w:rPr>
                <w:sz w:val="19"/>
              </w:rPr>
              <w:t>Restricted</w:t>
            </w:r>
          </w:p>
        </w:tc>
        <w:tc>
          <w:tcPr>
            <w:tcW w:type="dxa" w:w="2412"/>
          </w:tcPr>
          <w:p>
            <w:r>
              <w:rPr>
                <w:sz w:val="19"/>
              </w:rPr>
            </w:r>
            <w:r>
              <w:rPr>
                <w:sz w:val="19"/>
              </w:rPr>
              <w:t>Notification</w:t>
            </w:r>
          </w:p>
        </w:tc>
        <w:tc>
          <w:tcPr>
            <w:tcW w:type="dxa" w:w="2412"/>
          </w:tcPr>
          <w:p>
            <w:r>
              <w:rPr>
                <w:sz w:val="19"/>
              </w:rPr>
            </w:r>
            <w:r>
              <w:rPr>
                <w:sz w:val="19"/>
              </w:rPr>
              <w:t>Real-time alerts; 1-year retention</w:t>
            </w:r>
          </w:p>
        </w:tc>
        <w:tc>
          <w:tcPr>
            <w:tcW w:type="dxa" w:w="2412"/>
          </w:tcPr>
          <w:p>
            <w:r>
              <w:rPr>
                <w:sz w:val="19"/>
              </w:rPr>
            </w:r>
            <w:r>
              <w:rPr>
                <w:sz w:val="19"/>
              </w:rPr>
              <w:t>Human awareness of sensitive access</w:t>
            </w:r>
          </w:p>
        </w:tc>
      </w:tr>
    </w:tbl>
    <w:p/>
    <w:p>
      <w:pPr>
        <w:pStyle w:val="Heading2"/>
      </w:pPr>
      <w:r>
        <w:t>4.4 Read-Only Agent Patterns</w:t>
      </w:r>
    </w:p>
    <w:p>
      <w:r>
        <w:t>Several valuable enterprise use cases can be addressed entirely with Read-only (R-level) agents:</w:t>
      </w:r>
    </w:p>
    <w:p>
      <w:pPr>
        <w:pStyle w:val="ListBullet"/>
      </w:pPr>
      <w:r>
        <w:rPr>
          <w:b/>
        </w:rPr>
        <w:t>Monitoring Agents:</w:t>
      </w:r>
      <w:r>
        <w:t xml:space="preserve"> Continuous observation of system health, performance metrics, and security events. These agents can alert humans to anomalies without the ability to remediate, ensuring human judgment remains in the response loop.</w:t>
      </w:r>
    </w:p>
    <w:p>
      <w:pPr>
        <w:pStyle w:val="ListBullet"/>
      </w:pPr>
      <w:r>
        <w:rPr>
          <w:b/>
        </w:rPr>
        <w:t>Compliance Auditors:</w:t>
      </w:r>
      <w:r>
        <w:t xml:space="preserve"> Automated scanning of configurations, access logs, and data handling practices against policy baselines. Read-only access ensures the audit agent cannot alter the evidence it examines.</w:t>
      </w:r>
    </w:p>
    <w:p>
      <w:pPr>
        <w:pStyle w:val="ListBullet"/>
      </w:pPr>
      <w:r>
        <w:rPr>
          <w:b/>
        </w:rPr>
        <w:t>Recommendation Engines:</w:t>
      </w:r>
      <w:r>
        <w:t xml:space="preserve"> Analysis of system state and generation of optimization recommendations. Humans review and approve recommendations before execution by separate agents or manual processes.</w:t>
      </w:r>
    </w:p>
    <w:p>
      <w:pPr>
        <w:pStyle w:val="ListBullet"/>
      </w:pPr>
      <w:r>
        <w:rPr>
          <w:b/>
        </w:rPr>
        <w:t>Knowledge Extractors:</w:t>
      </w:r>
      <w:r>
        <w:t xml:space="preserve"> Scanning documents, configurations, and logs to build organizational knowledge bases. Read-only ensures source data integrity while enabling knowledge synthesis.</w:t>
      </w:r>
    </w:p>
    <w:p>
      <w:pPr>
        <w:pStyle w:val="ListBullet"/>
      </w:pPr>
      <w:r>
        <w:rPr>
          <w:b/>
        </w:rPr>
        <w:t>Anomaly Detectors:</w:t>
      </w:r>
      <w:r>
        <w:t xml:space="preserve"> Continuous analysis of patterns across logs, metrics, and events to identify deviations from baselines. Alert generation without response capability.</w:t>
      </w:r>
    </w:p>
    <w:p>
      <w:pPr>
        <w:pStyle w:val="Heading2"/>
      </w:pPr>
      <w:r>
        <w:t>4.5 Read Operation Best Practices</w:t>
      </w:r>
    </w:p>
    <w:p>
      <w:pPr>
        <w:pStyle w:val="ListBullet"/>
      </w:pPr>
      <w:r>
        <w:rPr>
          <w:b/>
        </w:rPr>
        <w:t>Scope Read Access Narrowly:</w:t>
      </w:r>
      <w:r>
        <w:t xml:space="preserve"> Grant access only to the specific data sources required for the agent's function, even within the Read tier.</w:t>
      </w:r>
    </w:p>
    <w:p>
      <w:pPr>
        <w:pStyle w:val="ListBullet"/>
      </w:pPr>
      <w:r>
        <w:rPr>
          <w:b/>
        </w:rPr>
        <w:t>Implement Query Boundaries:</w:t>
      </w:r>
      <w:r>
        <w:t xml:space="preserve"> Define limits on query scope, frequency, and result set sizes to prevent resource exhaustion and data exfiltration patterns.</w:t>
      </w:r>
    </w:p>
    <w:p>
      <w:pPr>
        <w:pStyle w:val="ListBullet"/>
      </w:pPr>
      <w:r>
        <w:rPr>
          <w:b/>
        </w:rPr>
        <w:t>Log All Restricted Access:</w:t>
      </w:r>
      <w:r>
        <w:t xml:space="preserve"> Any Read operation against Confidential or Restricted data must generate an immutable audit record.</w:t>
      </w:r>
    </w:p>
    <w:p>
      <w:pPr>
        <w:pStyle w:val="ListBullet"/>
      </w:pPr>
      <w:r>
        <w:rPr>
          <w:b/>
        </w:rPr>
        <w:t>Separate Read from Execute:</w:t>
      </w:r>
      <w:r>
        <w:t xml:space="preserve"> Ensure Read-only agents cannot invoke execution capabilities through indirect mechanisms such as writing to command queues.</w:t>
      </w:r>
    </w:p>
    <w:p>
      <w:pPr>
        <w:pStyle w:val="ListBullet"/>
      </w:pPr>
      <w:r>
        <w:rPr>
          <w:b/>
        </w:rPr>
        <w:t>Monitor for Escalation Attempts:</w:t>
      </w:r>
      <w:r>
        <w:t xml:space="preserve"> Detect patterns suggesting a Read-only agent is attempting to circumvent its permission boundaries.</w:t>
      </w:r>
    </w:p>
    <w:p>
      <w:pPr>
        <w:pStyle w:val="Heading2"/>
      </w:pPr>
      <w:r>
        <w:t>4.6 Anti-Patterns to Avoid</w:t>
      </w:r>
    </w:p>
    <w:p>
      <w:pPr>
        <w:pStyle w:val="ListBullet"/>
      </w:pPr>
      <w:r>
        <w:rPr>
          <w:b/>
        </w:rPr>
        <w:t>Read-to-Write Leakage:</w:t>
      </w:r>
      <w:r>
        <w:t xml:space="preserve"> Granting a Read-only agent the ability to write to locations that trigger automated workflows effectively grants execution capability.</w:t>
      </w:r>
    </w:p>
    <w:p>
      <w:pPr>
        <w:pStyle w:val="ListBullet"/>
      </w:pPr>
      <w:r>
        <w:rPr>
          <w:b/>
        </w:rPr>
        <w:t>Unbounded Data Access:</w:t>
      </w:r>
      <w:r>
        <w:t xml:space="preserve"> Allowing Read access to 'everything' rather than specific, justified data sources creates unnecessary exposure risk.</w:t>
      </w:r>
    </w:p>
    <w:p>
      <w:pPr>
        <w:pStyle w:val="ListBullet"/>
      </w:pPr>
      <w:r>
        <w:rPr>
          <w:b/>
        </w:rPr>
        <w:t>Missing Classification Awareness:</w:t>
      </w:r>
      <w:r>
        <w:t xml:space="preserve"> Treating all Read operations identically regardless of underlying data classification undermines the three-dimensional model.</w:t>
      </w:r>
    </w:p>
    <w:p>
      <w:pPr>
        <w:pStyle w:val="ListBullet"/>
      </w:pPr>
      <w:r>
        <w:rPr>
          <w:b/>
        </w:rPr>
        <w:t>Credential Exposure:</w:t>
      </w:r>
      <w:r>
        <w:t xml:space="preserve"> Read access to configuration stores that contain embedded credentials effectively grants privilege escalation.</w:t>
      </w:r>
    </w:p>
    <w:p>
      <w:pPr>
        <w:pStyle w:val="Heading1"/>
      </w:pPr>
      <w:r>
        <w:t>5. Move Operations: Controlled Relocation</w:t>
      </w:r>
    </w:p>
    <w:p>
      <w:pPr>
        <w:pStyle w:val="Heading2"/>
      </w:pPr>
      <w:r>
        <w:t>5.1 Definition and Scope</w:t>
      </w:r>
    </w:p>
    <w:p>
      <w:r>
        <w:t>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ListBullet"/>
      </w:pPr>
      <w:r>
        <w:rPr>
          <w:b/>
        </w:rPr>
        <w:t>Core Move Capabilities:</w:t>
      </w:r>
      <w:r>
        <w:t xml:space="preserve"> Transfer files between storage locations, migrate workloads between hosts or clusters, reassign resources between projects or teams, relocate network assets between segments, move data between geographic regions, and rebalance loads across infrastructure.</w:t>
      </w:r>
    </w:p>
    <w:p>
      <w:pPr>
        <w:pStyle w:val="ListBullet"/>
      </w:pPr>
      <w:r>
        <w:rPr>
          <w:b/>
        </w:rPr>
        <w:t>Key Characteristic - Reversibility:</w:t>
      </w:r>
      <w:r>
        <w:t xml:space="preserve"> Move operations are distinguished from higher-risk operations by their inherent reversibility. A moved asset can typically be moved back to its original location, making Move operations lower-risk than Add, Change, or Delete.</w:t>
      </w:r>
    </w:p>
    <w:p>
      <w:pPr>
        <w:pStyle w:val="Heading2"/>
      </w:pPr>
      <w:r>
        <w:t>5.2 Risk Profile</w:t>
      </w:r>
    </w:p>
    <w:p>
      <w:r>
        <w:t>Move operations carry a Low-to-Medium risk profile depending on the context:</w:t>
      </w:r>
    </w:p>
    <w:p>
      <w:pPr>
        <w:pStyle w:val="ListBullet"/>
      </w:pPr>
      <w:r>
        <w:rPr>
          <w:b/>
        </w:rPr>
        <w:t>Low Risk:</w:t>
      </w:r>
      <w:r>
        <w:t xml:space="preserve"> Moving non-production assets, relocating non-sensitive data between equivalent storage tiers, or rebalancing loads within a single environment.</w:t>
      </w:r>
    </w:p>
    <w:p>
      <w:pPr>
        <w:pStyle w:val="ListBullet"/>
      </w:pPr>
      <w:r>
        <w:rPr>
          <w:b/>
        </w:rPr>
        <w:t>Medium Risk:</w:t>
      </w:r>
      <w:r>
        <w:t xml:space="preserve"> Moving production workloads, transferring data across security boundaries, or relocating assets that affect service availability.</w:t>
      </w:r>
    </w:p>
    <w:p>
      <w:pPr>
        <w:pStyle w:val="ListBullet"/>
      </w:pPr>
      <w:r>
        <w:rPr>
          <w:b/>
        </w:rPr>
        <w:t>Elevated Risk:</w:t>
      </w:r>
      <w:r>
        <w:t xml:space="preserve"> Moving data across geographic boundaries (compliance implications), transferring between cloud providers, or relocating assets in regulated environments.</w:t>
      </w:r>
    </w:p>
    <w:p>
      <w:r>
        <w:t>The data classification of the asset being moved significantly impacts the risk assessment. Moving Public data between storage locations is near-zero risk; moving Restricted data across network boundaries requires elevated controls.</w:t>
      </w:r>
    </w:p>
    <w:p>
      <w:pPr>
        <w:pStyle w:val="Heading2"/>
      </w:pPr>
      <w:r>
        <w:t>5.3 Move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None</w:t>
            </w:r>
          </w:p>
        </w:tc>
        <w:tc>
          <w:tcPr>
            <w:tcW w:type="dxa" w:w="2412"/>
          </w:tcPr>
          <w:p>
            <w:r>
              <w:rPr>
                <w:sz w:val="19"/>
              </w:rPr>
            </w:r>
            <w:r>
              <w:rPr>
                <w:sz w:val="19"/>
              </w:rPr>
              <w:t>Audit log entry</w:t>
            </w:r>
          </w:p>
        </w:tc>
      </w:tr>
      <w:tr>
        <w:tc>
          <w:tcPr>
            <w:tcW w:type="dxa" w:w="2412"/>
          </w:tcPr>
          <w:p>
            <w:r>
              <w:rPr>
                <w:sz w:val="19"/>
              </w:rPr>
            </w:r>
            <w:r>
              <w:rPr>
                <w:sz w:val="19"/>
              </w:rPr>
              <w:t>Internal</w:t>
            </w:r>
          </w:p>
        </w:tc>
        <w:tc>
          <w:tcPr>
            <w:tcW w:type="dxa" w:w="2412"/>
          </w:tcPr>
          <w:p>
            <w:r>
              <w:rPr>
                <w:sz w:val="19"/>
              </w:rPr>
            </w:r>
            <w:r>
              <w:rPr>
                <w:sz w:val="19"/>
              </w:rPr>
              <w:t>Notification</w:t>
            </w:r>
          </w:p>
        </w:tc>
        <w:tc>
          <w:tcPr>
            <w:tcW w:type="dxa" w:w="2412"/>
          </w:tcPr>
          <w:p>
            <w:r>
              <w:rPr>
                <w:sz w:val="19"/>
              </w:rPr>
            </w:r>
            <w:r>
              <w:rPr>
                <w:sz w:val="19"/>
              </w:rPr>
              <w:t>Destination validation</w:t>
            </w:r>
          </w:p>
        </w:tc>
        <w:tc>
          <w:tcPr>
            <w:tcW w:type="dxa" w:w="2412"/>
          </w:tcPr>
          <w:p>
            <w:r>
              <w:rPr>
                <w:sz w:val="19"/>
              </w:rPr>
            </w:r>
            <w:r>
              <w:rPr>
                <w:sz w:val="19"/>
              </w:rPr>
              <w:t>Notify asset owner; rollback plan ready</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Security assessment; DLP check</w:t>
            </w:r>
          </w:p>
        </w:tc>
        <w:tc>
          <w:tcPr>
            <w:tcW w:type="dxa" w:w="2412"/>
          </w:tcPr>
          <w:p>
            <w:r>
              <w:rPr>
                <w:sz w:val="19"/>
              </w:rPr>
            </w:r>
            <w:r>
              <w:rPr>
                <w:sz w:val="19"/>
              </w:rPr>
              <w:t>Verification;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review; legal/compliance sign-off</w:t>
            </w:r>
          </w:p>
        </w:tc>
        <w:tc>
          <w:tcPr>
            <w:tcW w:type="dxa" w:w="2412"/>
          </w:tcPr>
          <w:p>
            <w:r>
              <w:rPr>
                <w:sz w:val="19"/>
              </w:rPr>
            </w:r>
            <w:r>
              <w:rPr>
                <w:sz w:val="19"/>
              </w:rPr>
              <w:t>Chain of custody; encryption verification</w:t>
            </w:r>
          </w:p>
        </w:tc>
      </w:tr>
    </w:tbl>
    <w:p/>
    <w:p>
      <w:pPr>
        <w:pStyle w:val="Heading2"/>
      </w:pPr>
      <w:r>
        <w:t>5.4 Move Operation Agent Patterns</w:t>
      </w:r>
    </w:p>
    <w:p>
      <w:pPr>
        <w:pStyle w:val="ListBullet"/>
      </w:pPr>
      <w:r>
        <w:rPr>
          <w:b/>
        </w:rPr>
        <w:t>Load Balancing Agents:</w:t>
      </w:r>
      <w:r>
        <w:t xml:space="preserve"> Autonomously redistribute workloads across infrastructure to optimize performance. Limited to Public/Internal data; requires notification for anything else.</w:t>
      </w:r>
    </w:p>
    <w:p>
      <w:pPr>
        <w:pStyle w:val="ListBullet"/>
      </w:pPr>
      <w:r>
        <w:rPr>
          <w:b/>
        </w:rPr>
        <w:t>Data Lifecycle Agents:</w:t>
      </w:r>
      <w:r>
        <w:t xml:space="preserve"> Move aging data to lower-cost storage tiers based on retention policies. Must respect classification: can autonomously tier Public data but requires approval for Confidential.</w:t>
      </w:r>
    </w:p>
    <w:p>
      <w:pPr>
        <w:pStyle w:val="ListBullet"/>
      </w:pPr>
      <w:r>
        <w:rPr>
          <w:b/>
        </w:rPr>
        <w:t>Disaster Recovery Agents:</w:t>
      </w:r>
      <w:r>
        <w:t xml:space="preserve"> Relocate workloads to failover sites during incidents. Pre-authorized Move permissions for DR scenarios with post-incident reporting.</w:t>
      </w:r>
    </w:p>
    <w:p>
      <w:pPr>
        <w:pStyle w:val="ListBullet"/>
      </w:pPr>
      <w:r>
        <w:rPr>
          <w:b/>
        </w:rPr>
        <w:t>Containment Agents:</w:t>
      </w:r>
      <w:r>
        <w:t xml:space="preserve"> Move compromised assets to isolation networks during security incidents. Move-only permissions enable rapid response without modification capability.</w:t>
      </w:r>
    </w:p>
    <w:p>
      <w:pPr>
        <w:pStyle w:val="Heading2"/>
      </w:pPr>
      <w:r>
        <w:t>5.5 Move Operation Safeguards</w:t>
      </w:r>
    </w:p>
    <w:p>
      <w:pPr>
        <w:pStyle w:val="ListBullet"/>
      </w:pPr>
      <w:r>
        <w:rPr>
          <w:b/>
        </w:rPr>
        <w:t>Destination Validation:</w:t>
      </w:r>
      <w:r>
        <w:t xml:space="preserve"> Before any Move, verify the destination meets the same or higher security classification as the source.</w:t>
      </w:r>
    </w:p>
    <w:p>
      <w:pPr>
        <w:pStyle w:val="ListBullet"/>
      </w:pPr>
      <w:r>
        <w:rPr>
          <w:b/>
        </w:rPr>
        <w:t>Rollback Capability:</w:t>
      </w:r>
      <w:r>
        <w:t xml:space="preserve"> Maintain the ability to reverse the Move operation for a defined period after execution.</w:t>
      </w:r>
    </w:p>
    <w:p>
      <w:pPr>
        <w:pStyle w:val="ListBullet"/>
      </w:pPr>
      <w:r>
        <w:rPr>
          <w:b/>
        </w:rPr>
        <w:t>Data Residency Compliance:</w:t>
      </w:r>
      <w:r>
        <w:t xml:space="preserve"> For data subject to geographic restrictions, validate that the destination meets residency requirements.</w:t>
      </w:r>
    </w:p>
    <w:p>
      <w:pPr>
        <w:pStyle w:val="ListBullet"/>
      </w:pPr>
      <w:r>
        <w:rPr>
          <w:b/>
        </w:rPr>
        <w:t>Integrity Verification:</w:t>
      </w:r>
      <w:r>
        <w:t xml:space="preserve"> Verify that moved assets are intact and uncorrupted after the operation completes.</w:t>
      </w:r>
    </w:p>
    <w:p>
      <w:pPr>
        <w:pStyle w:val="ListBullet"/>
      </w:pPr>
      <w:r>
        <w:rPr>
          <w:b/>
        </w:rPr>
        <w:t>Source Cleanup:</w:t>
      </w:r>
      <w:r>
        <w:t xml:space="preserve"> Define whether the source copy should be retained, deleted, or tombstoned after the Move.</w:t>
      </w:r>
    </w:p>
    <w:p>
      <w:pPr>
        <w:pStyle w:val="Heading2"/>
      </w:pPr>
      <w:r>
        <w:t>5.6 Anti-Patterns to Avoid</w:t>
      </w:r>
    </w:p>
    <w:p>
      <w:pPr>
        <w:pStyle w:val="ListBullet"/>
      </w:pPr>
      <w:r>
        <w:rPr>
          <w:b/>
        </w:rPr>
        <w:t>Move-as-Exfiltration:</w:t>
      </w:r>
      <w:r>
        <w:t xml:space="preserve"> Moving data to less-secured locations as a method of bypassing access controls. Destination must meet source classification.</w:t>
      </w:r>
    </w:p>
    <w:p>
      <w:pPr>
        <w:pStyle w:val="ListBullet"/>
      </w:pPr>
      <w:r>
        <w:rPr>
          <w:b/>
        </w:rPr>
        <w:t>Unrestricted Destination:</w:t>
      </w:r>
      <w:r>
        <w:t xml:space="preserve"> Allowing Move operations to any destination rather than pre-approved target locations.</w:t>
      </w:r>
    </w:p>
    <w:p>
      <w:pPr>
        <w:pStyle w:val="ListBullet"/>
      </w:pPr>
      <w:r>
        <w:rPr>
          <w:b/>
        </w:rPr>
        <w:t>Missing Rollback:</w:t>
      </w:r>
      <w:r>
        <w:t xml:space="preserve"> Executing Move operations without maintaining the ability to reverse them.</w:t>
      </w:r>
    </w:p>
    <w:p>
      <w:pPr>
        <w:pStyle w:val="ListBullet"/>
      </w:pPr>
      <w:r>
        <w:rPr>
          <w:b/>
        </w:rPr>
        <w:t>Classification Downgrade:</w:t>
      </w:r>
      <w:r>
        <w:t xml:space="preserve"> Moving data to locations with lower security controls without explicit reclassification approval.</w:t>
      </w:r>
    </w:p>
    <w:p>
      <w:pPr>
        <w:pStyle w:val="Heading1"/>
      </w:pPr>
      <w:r>
        <w:t>6. Add Operations: Governed Creation</w:t>
      </w:r>
    </w:p>
    <w:p>
      <w:pPr>
        <w:pStyle w:val="Heading2"/>
      </w:pPr>
      <w:r>
        <w:t>6.1 Definition and Scope</w:t>
      </w:r>
    </w:p>
    <w:p>
      <w:r>
        <w:t>Add operations encompass all agent activities that create new assets, provision new resources, deploy new configurations, or introduce new data into the environment. Add is a medium-risk tier that increases system state complexity and resource consumption.</w:t>
      </w:r>
    </w:p>
    <w:p>
      <w:pPr>
        <w:pStyle w:val="ListBullet"/>
      </w:pPr>
      <w:r>
        <w:rPr>
          <w:b/>
        </w:rPr>
        <w:t>Core Add Capabilities:</w:t>
      </w:r>
      <w:r>
        <w:t xml:space="preserve"> Provision virtual machines or containers, create user accounts or service identities, deploy applications or services, generate new data records, establish new network configurations, create storage volumes, and instantiate new monitoring or alerting rules.</w:t>
      </w:r>
    </w:p>
    <w:p>
      <w:pPr>
        <w:pStyle w:val="ListBullet"/>
      </w:pPr>
      <w:r>
        <w:rPr>
          <w:b/>
        </w:rPr>
        <w:t>Key Characteristic - Additive Impact:</w:t>
      </w:r>
      <w:r>
        <w:t xml:space="preserve"> Add operations increase system complexity and resource consumption. While they don't modify or destroy existing state, they create new state that must be managed, secured, and eventually retired.</w:t>
      </w:r>
    </w:p>
    <w:p>
      <w:pPr>
        <w:pStyle w:val="Heading2"/>
      </w:pPr>
      <w:r>
        <w:t>6.2 Risk Profile</w:t>
      </w:r>
    </w:p>
    <w:p>
      <w:r>
        <w:t>Add operations carry a Medium risk profile with several considerations:</w:t>
      </w:r>
    </w:p>
    <w:p>
      <w:pPr>
        <w:pStyle w:val="ListBullet"/>
      </w:pPr>
      <w:r>
        <w:rPr>
          <w:b/>
        </w:rPr>
        <w:t>Resource Consumption:</w:t>
      </w:r>
      <w:r>
        <w:t xml:space="preserve"> Uncontrolled Add operations can exhaust capacity, increase costs, and create sprawl that becomes difficult to manage.</w:t>
      </w:r>
    </w:p>
    <w:p>
      <w:pPr>
        <w:pStyle w:val="ListBullet"/>
      </w:pPr>
      <w:r>
        <w:rPr>
          <w:b/>
        </w:rPr>
        <w:t>Attack Surface Expansion:</w:t>
      </w:r>
      <w:r>
        <w:t xml:space="preserve"> Each new resource, account, or service represents additional attack surface that must be secured and monitored.</w:t>
      </w:r>
    </w:p>
    <w:p>
      <w:pPr>
        <w:pStyle w:val="ListBullet"/>
      </w:pPr>
      <w:r>
        <w:rPr>
          <w:b/>
        </w:rPr>
        <w:t>Configuration Drift:</w:t>
      </w:r>
      <w:r>
        <w:t xml:space="preserve"> Added resources may not conform to organizational standards, creating inconsistencies that complicate operations.</w:t>
      </w:r>
    </w:p>
    <w:p>
      <w:pPr>
        <w:pStyle w:val="ListBullet"/>
      </w:pPr>
      <w:r>
        <w:rPr>
          <w:b/>
        </w:rPr>
        <w:t>Orphan Risk:</w:t>
      </w:r>
      <w:r>
        <w:t xml:space="preserve"> Added resources may become orphaned if not properly tracked, creating security and cost risks.</w:t>
      </w:r>
    </w:p>
    <w:p>
      <w:r>
        <w:t>The data classification for Add operations relates to what data the new resource will handle or create, not just existing data sensitivity.</w:t>
      </w:r>
    </w:p>
    <w:p>
      <w:pPr>
        <w:pStyle w:val="Heading2"/>
      </w:pPr>
      <w:r>
        <w:t>6.3 Add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Notification</w:t>
            </w:r>
          </w:p>
        </w:tc>
        <w:tc>
          <w:tcPr>
            <w:tcW w:type="dxa" w:w="2412"/>
          </w:tcPr>
          <w:p>
            <w:r>
              <w:rPr>
                <w:sz w:val="19"/>
              </w:rPr>
            </w:r>
            <w:r>
              <w:rPr>
                <w:sz w:val="19"/>
              </w:rPr>
              <w:t>Template compliance check</w:t>
            </w:r>
          </w:p>
        </w:tc>
        <w:tc>
          <w:tcPr>
            <w:tcW w:type="dxa" w:w="2412"/>
          </w:tcPr>
          <w:p>
            <w:r>
              <w:rPr>
                <w:sz w:val="19"/>
              </w:rPr>
            </w:r>
            <w:r>
              <w:rPr>
                <w:sz w:val="19"/>
              </w:rPr>
              <w:t>Asset registration; owner assignment</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Budget verification; standard config</w:t>
            </w:r>
          </w:p>
        </w:tc>
        <w:tc>
          <w:tcPr>
            <w:tcW w:type="dxa" w:w="2412"/>
          </w:tcPr>
          <w:p>
            <w:r>
              <w:rPr>
                <w:sz w:val="19"/>
              </w:rPr>
            </w:r>
            <w:r>
              <w:rPr>
                <w:sz w:val="19"/>
              </w:rPr>
              <w:t>CMDB update; monitoring enabled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Security review; hardened config</w:t>
            </w:r>
          </w:p>
        </w:tc>
        <w:tc>
          <w:tcPr>
            <w:tcW w:type="dxa" w:w="2412"/>
          </w:tcPr>
          <w:p>
            <w:r>
              <w:rPr>
                <w:sz w:val="19"/>
              </w:rPr>
            </w:r>
            <w:r>
              <w:rPr>
                <w:sz w:val="19"/>
              </w:rPr>
              <w:t>Security scan;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 Security + Legal review</w:t>
            </w:r>
          </w:p>
        </w:tc>
        <w:tc>
          <w:tcPr>
            <w:tcW w:type="dxa" w:w="2412"/>
          </w:tcPr>
          <w:p>
            <w:r>
              <w:rPr>
                <w:sz w:val="19"/>
              </w:rPr>
            </w:r>
            <w:r>
              <w:rPr>
                <w:sz w:val="19"/>
              </w:rPr>
              <w:t>Penetration test; full audit trail</w:t>
            </w:r>
          </w:p>
        </w:tc>
      </w:tr>
    </w:tbl>
    <w:p/>
    <w:p>
      <w:pPr>
        <w:pStyle w:val="Heading2"/>
      </w:pPr>
      <w:r>
        <w:t>6.4 Add Operation Agent Patterns</w:t>
      </w:r>
    </w:p>
    <w:p>
      <w:pPr>
        <w:pStyle w:val="ListBullet"/>
      </w:pPr>
      <w:r>
        <w:rPr>
          <w:b/>
        </w:rPr>
        <w:t>Auto-Scaling Agents:</w:t>
      </w:r>
      <w:r>
        <w:t xml:space="preserve"> Provision additional compute resources in response to demand. Pre-approved templates with notification; budget guardrails prevent runaway scaling.</w:t>
      </w:r>
    </w:p>
    <w:p>
      <w:pPr>
        <w:pStyle w:val="ListBullet"/>
      </w:pPr>
      <w:r>
        <w:rPr>
          <w:b/>
        </w:rPr>
        <w:t>Self-Service Provisioning:</w:t>
      </w:r>
      <w:r>
        <w:t xml:space="preserve"> Create development environments or test resources on demand. Approval required; automatic expiration dates to prevent orphaning.</w:t>
      </w:r>
    </w:p>
    <w:p>
      <w:pPr>
        <w:pStyle w:val="ListBullet"/>
      </w:pPr>
      <w:r>
        <w:rPr>
          <w:b/>
        </w:rPr>
        <w:t>Onboarding Agents:</w:t>
      </w:r>
      <w:r>
        <w:t xml:space="preserve"> Provision new user accounts and standard resources for new employees. Elevated approval due to identity creation; must follow identity governance policies.</w:t>
      </w:r>
    </w:p>
    <w:p>
      <w:pPr>
        <w:pStyle w:val="ListBullet"/>
      </w:pPr>
      <w:r>
        <w:rPr>
          <w:b/>
        </w:rPr>
        <w:t>Incident Response Agents:</w:t>
      </w:r>
      <w:r>
        <w:t xml:space="preserve"> Spin up forensic environments or additional monitoring during incidents. Pre-authorized Add for IR scenarios with post-incident cleanup requirements.</w:t>
      </w:r>
    </w:p>
    <w:p>
      <w:pPr>
        <w:pStyle w:val="Heading2"/>
      </w:pPr>
      <w:r>
        <w:t>6.5 Add Operation Safeguards</w:t>
      </w:r>
    </w:p>
    <w:p>
      <w:pPr>
        <w:pStyle w:val="ListBullet"/>
      </w:pPr>
      <w:r>
        <w:rPr>
          <w:b/>
        </w:rPr>
        <w:t>Template Enforcement:</w:t>
      </w:r>
      <w:r>
        <w:t xml:space="preserve"> All Add operations should use pre-approved templates that enforce security baselines and organizational standards.</w:t>
      </w:r>
    </w:p>
    <w:p>
      <w:pPr>
        <w:pStyle w:val="ListBullet"/>
      </w:pPr>
      <w:r>
        <w:rPr>
          <w:b/>
        </w:rPr>
        <w:t>Budget Guardrails:</w:t>
      </w:r>
      <w:r>
        <w:t xml:space="preserve"> Implement cost limits that prevent agents from creating resources beyond approved budgets.</w:t>
      </w:r>
    </w:p>
    <w:p>
      <w:pPr>
        <w:pStyle w:val="ListBullet"/>
      </w:pPr>
      <w:r>
        <w:rPr>
          <w:b/>
        </w:rPr>
        <w:t>Expiration Policies:</w:t>
      </w:r>
      <w:r>
        <w:t xml:space="preserve"> Added resources should have default expiration dates that require explicit renewal to prevent orphaning.</w:t>
      </w:r>
    </w:p>
    <w:p>
      <w:pPr>
        <w:pStyle w:val="ListBullet"/>
      </w:pPr>
      <w:r>
        <w:rPr>
          <w:b/>
        </w:rPr>
        <w:t>Automatic Registration:</w:t>
      </w:r>
      <w:r>
        <w:t xml:space="preserve"> All added resources must be automatically registered in asset inventories (CMDB) with assigned owners.</w:t>
      </w:r>
    </w:p>
    <w:p>
      <w:pPr>
        <w:pStyle w:val="ListBullet"/>
      </w:pPr>
      <w:r>
        <w:rPr>
          <w:b/>
        </w:rPr>
        <w:t>Security Baseline Verification:</w:t>
      </w:r>
      <w:r>
        <w:t xml:space="preserve"> Added resources must pass security configuration checks before becoming operational.</w:t>
      </w:r>
    </w:p>
    <w:p>
      <w:pPr>
        <w:pStyle w:val="Heading2"/>
      </w:pPr>
      <w:r>
        <w:t>6.6 Anti-Patterns to Avoid</w:t>
      </w:r>
    </w:p>
    <w:p>
      <w:pPr>
        <w:pStyle w:val="ListBullet"/>
      </w:pPr>
      <w:r>
        <w:rPr>
          <w:b/>
        </w:rPr>
        <w:t>Unconstrained Creation:</w:t>
      </w:r>
      <w:r>
        <w:t xml:space="preserve"> Allowing unlimited Add operations without budget, quota, or approval constraints.</w:t>
      </w:r>
    </w:p>
    <w:p>
      <w:pPr>
        <w:pStyle w:val="ListBullet"/>
      </w:pPr>
      <w:r>
        <w:rPr>
          <w:b/>
        </w:rPr>
        <w:t>Shadow Resources:</w:t>
      </w:r>
      <w:r>
        <w:t xml:space="preserve"> Adding resources that bypass inventory systems, creating untracked assets.</w:t>
      </w:r>
    </w:p>
    <w:p>
      <w:pPr>
        <w:pStyle w:val="ListBullet"/>
      </w:pPr>
      <w:r>
        <w:rPr>
          <w:b/>
        </w:rPr>
        <w:t>Configuration Drift:</w:t>
      </w:r>
      <w:r>
        <w:t xml:space="preserve"> Adding resources with non-standard configurations that create security or operational inconsistencies.</w:t>
      </w:r>
    </w:p>
    <w:p>
      <w:pPr>
        <w:pStyle w:val="ListBullet"/>
      </w:pPr>
      <w:r>
        <w:rPr>
          <w:b/>
        </w:rPr>
        <w:t>Privilege Accumulation:</w:t>
      </w:r>
      <w:r>
        <w:t xml:space="preserve"> Creating new service accounts or roles with excessive permissions as a way to escalate privileges.</w:t>
      </w:r>
    </w:p>
    <w:p>
      <w:pPr>
        <w:pStyle w:val="ListBullet"/>
      </w:pPr>
      <w:r>
        <w:rPr>
          <w:b/>
        </w:rPr>
        <w:t>Orphan Creation:</w:t>
      </w:r>
      <w:r>
        <w:t xml:space="preserve"> Adding resources without clear ownership, making future lifecycle management impossible.</w:t>
      </w:r>
    </w:p>
    <w:p>
      <w:pPr>
        <w:pStyle w:val="Heading1"/>
      </w:pPr>
      <w:r>
        <w:t>7. Change Operations: Managed Mutation</w:t>
      </w:r>
    </w:p>
    <w:p>
      <w:pPr>
        <w:pStyle w:val="Heading2"/>
      </w:pPr>
      <w:r>
        <w:t>7.1 Definition and Scope</w:t>
      </w:r>
    </w:p>
    <w:p>
      <w:r>
        <w:t>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ListBullet"/>
      </w:pPr>
      <w:r>
        <w:rPr>
          <w:b/>
        </w:rPr>
        <w:t>Core Change Capabilities:</w:t>
      </w:r>
      <w:r>
        <w:t xml:space="preserve"> Modify configuration files and settings, update application code or deployments, alter database records, change network rules and policies, update user permissions and roles, patch operating systems and applications, and reconfigure service parameters.</w:t>
      </w:r>
    </w:p>
    <w:p>
      <w:pPr>
        <w:pStyle w:val="ListBullet"/>
      </w:pPr>
      <w:r>
        <w:rPr>
          <w:b/>
        </w:rPr>
        <w:t>Key Characteristic - State Mutation:</w:t>
      </w:r>
      <w:r>
        <w:t xml:space="preserve"> Change operations modify existing state rather than creating or removing it. This makes them particularly sensitive because the original state may be lost or difficult to recover without explicit versioning and backup mechanisms.</w:t>
      </w:r>
    </w:p>
    <w:p>
      <w:pPr>
        <w:pStyle w:val="Heading2"/>
      </w:pPr>
      <w:r>
        <w:t>7.2 Risk Profile</w:t>
      </w:r>
    </w:p>
    <w:p>
      <w:r>
        <w:t>Change operations carry a High risk profile with critical considerations:</w:t>
      </w:r>
    </w:p>
    <w:p>
      <w:pPr>
        <w:pStyle w:val="ListBullet"/>
      </w:pPr>
      <w:r>
        <w:rPr>
          <w:b/>
        </w:rPr>
        <w:t>Service Impact:</w:t>
      </w:r>
      <w:r>
        <w:t xml:space="preserve"> Changes to production systems can cause outages, performance degradation, or unexpected behavior affecting users and business operations.</w:t>
      </w:r>
    </w:p>
    <w:p>
      <w:pPr>
        <w:pStyle w:val="ListBullet"/>
      </w:pPr>
      <w:r>
        <w:rPr>
          <w:b/>
        </w:rPr>
        <w:t>Security Impact:</w:t>
      </w:r>
      <w:r>
        <w:t xml:space="preserve"> Configuration changes can inadvertently create vulnerabilities, weaken access controls, or expose sensitive data.</w:t>
      </w:r>
    </w:p>
    <w:p>
      <w:pPr>
        <w:pStyle w:val="ListBullet"/>
      </w:pPr>
      <w:r>
        <w:rPr>
          <w:b/>
        </w:rPr>
        <w:t>Cascade Effects:</w:t>
      </w:r>
      <w:r>
        <w:t xml:space="preserve"> Changes in interconnected systems can trigger unexpected cascading effects across dependent services.</w:t>
      </w:r>
    </w:p>
    <w:p>
      <w:pPr>
        <w:pStyle w:val="ListBullet"/>
      </w:pPr>
      <w:r>
        <w:rPr>
          <w:b/>
        </w:rPr>
        <w:t>Recovery Complexity:</w:t>
      </w:r>
      <w:r>
        <w:t xml:space="preserve"> Unlike Add operations (which can be deleted) or Move operations (which can be reversed), Change operations may be difficult to undo without explicit rollback capabilities.</w:t>
      </w:r>
    </w:p>
    <w:p>
      <w:pPr>
        <w:pStyle w:val="Heading2"/>
      </w:pPr>
      <w:r>
        <w:t>7.3 Change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Backup created; rollback tested</w:t>
            </w:r>
          </w:p>
        </w:tc>
        <w:tc>
          <w:tcPr>
            <w:tcW w:type="dxa" w:w="2412"/>
          </w:tcPr>
          <w:p>
            <w:r>
              <w:rPr>
                <w:sz w:val="19"/>
              </w:rPr>
            </w:r>
            <w:r>
              <w:rPr>
                <w:sz w:val="19"/>
              </w:rPr>
              <w:t>Verification; smoke test; monitoring</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Impact assessment; change window</w:t>
            </w:r>
          </w:p>
        </w:tc>
        <w:tc>
          <w:tcPr>
            <w:tcW w:type="dxa" w:w="2412"/>
          </w:tcPr>
          <w:p>
            <w:r>
              <w:rPr>
                <w:sz w:val="19"/>
              </w:rPr>
            </w:r>
            <w:r>
              <w:rPr>
                <w:sz w:val="19"/>
              </w:rPr>
              <w:t>PIR scheduled; rollback window defined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CAB review; security assessment</w:t>
            </w:r>
          </w:p>
        </w:tc>
        <w:tc>
          <w:tcPr>
            <w:tcW w:type="dxa" w:w="2412"/>
          </w:tcPr>
          <w:p>
            <w:r>
              <w:rPr>
                <w:sz w:val="19"/>
              </w:rPr>
            </w:r>
            <w:r>
              <w:rPr>
                <w:sz w:val="19"/>
              </w:rPr>
              <w:t>Security scan; compliance check; PIR</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recommend; human executes</w:t>
            </w:r>
          </w:p>
        </w:tc>
      </w:tr>
    </w:tbl>
    <w:p/>
    <w:p>
      <w:r>
        <w:t>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pPr>
      <w:r>
        <w:t>7.4 Change Operation Agent Patterns</w:t>
      </w:r>
    </w:p>
    <w:p>
      <w:pPr>
        <w:pStyle w:val="ListBullet"/>
      </w:pPr>
      <w:r>
        <w:rPr>
          <w:b/>
        </w:rPr>
        <w:t>Configuration Management Agents:</w:t>
      </w:r>
      <w:r>
        <w:t xml:space="preserve"> Apply approved configuration baselines and remediate drift. Pre-approved standard changes; requires approval for non-standard modifications.</w:t>
      </w:r>
    </w:p>
    <w:p>
      <w:pPr>
        <w:pStyle w:val="ListBullet"/>
      </w:pPr>
      <w:r>
        <w:rPr>
          <w:b/>
        </w:rPr>
        <w:t>Patch Management Agents:</w:t>
      </w:r>
      <w:r>
        <w:t xml:space="preserve"> Deploy security patches and updates. Approval required; must operate within defined change windows; automatic rollback on failure.</w:t>
      </w:r>
    </w:p>
    <w:p>
      <w:pPr>
        <w:pStyle w:val="ListBullet"/>
      </w:pPr>
      <w:r>
        <w:rPr>
          <w:b/>
        </w:rPr>
        <w:t>Optimization Agents:</w:t>
      </w:r>
      <w:r>
        <w:t xml:space="preserve"> Tune performance parameters based on observed behavior. Approval required; changes must stay within defined parameter ranges.</w:t>
      </w:r>
    </w:p>
    <w:p>
      <w:pPr>
        <w:pStyle w:val="ListBullet"/>
      </w:pPr>
      <w:r>
        <w:rPr>
          <w:b/>
        </w:rPr>
        <w:t>Self-Healing Agents:</w:t>
      </w:r>
      <w:r>
        <w:t xml:space="preserve"> Automatically remediate known issues by applying pre-approved fixes. Pre-authorized for specific, well-tested remediation patterns only.</w:t>
      </w:r>
    </w:p>
    <w:p>
      <w:pPr>
        <w:pStyle w:val="Heading2"/>
      </w:pPr>
      <w:r>
        <w:t>7.5 Change Operation Safeguards</w:t>
      </w:r>
    </w:p>
    <w:p>
      <w:pPr>
        <w:pStyle w:val="ListBullet"/>
      </w:pPr>
      <w:r>
        <w:rPr>
          <w:b/>
        </w:rPr>
        <w:t>Mandatory Backup:</w:t>
      </w:r>
      <w:r>
        <w:t xml:space="preserve"> Before any Change operation, create a backup or snapshot that enables rollback.</w:t>
      </w:r>
    </w:p>
    <w:p>
      <w:pPr>
        <w:pStyle w:val="ListBullet"/>
      </w:pPr>
      <w:r>
        <w:rPr>
          <w:b/>
        </w:rPr>
        <w:t>Change Windows:</w:t>
      </w:r>
      <w:r>
        <w:t xml:space="preserve"> Restrict Change operations to defined maintenance windows for production systems.</w:t>
      </w:r>
    </w:p>
    <w:p>
      <w:pPr>
        <w:pStyle w:val="ListBullet"/>
      </w:pPr>
      <w:r>
        <w:rPr>
          <w:b/>
        </w:rPr>
        <w:t>Canary Deployment:</w:t>
      </w:r>
      <w:r>
        <w:t xml:space="preserve"> For changes affecting multiple systems, implement staged rollout with monitoring between stages.</w:t>
      </w:r>
    </w:p>
    <w:p>
      <w:pPr>
        <w:pStyle w:val="ListBullet"/>
      </w:pPr>
      <w:r>
        <w:rPr>
          <w:b/>
        </w:rPr>
        <w:t>Automatic Rollback:</w:t>
      </w:r>
      <w:r>
        <w:t xml:space="preserve"> Implement automatic rollback triggers based on health checks and error thresholds.</w:t>
      </w:r>
    </w:p>
    <w:p>
      <w:pPr>
        <w:pStyle w:val="ListBullet"/>
      </w:pPr>
      <w:r>
        <w:rPr>
          <w:b/>
        </w:rPr>
        <w:t>Two-Phase Execution:</w:t>
      </w:r>
      <w:r>
        <w:t xml:space="preserve"> Implement propose-then-apply patterns where the agent proposes changes and awaits confirmation before execution.</w:t>
      </w:r>
    </w:p>
    <w:p>
      <w:pPr>
        <w:pStyle w:val="ListBullet"/>
      </w:pPr>
      <w:r>
        <w:rPr>
          <w:b/>
        </w:rPr>
        <w:t>Blast Radius Limits:</w:t>
      </w:r>
      <w:r>
        <w:t xml:space="preserve"> Constrain the scope of any single Change operation to prevent widespread impact from errors.</w:t>
      </w:r>
    </w:p>
    <w:p>
      <w:pPr>
        <w:pStyle w:val="Heading2"/>
      </w:pPr>
      <w:r>
        <w:t>7.6 Anti-Patterns to Avoid</w:t>
      </w:r>
    </w:p>
    <w:p>
      <w:pPr>
        <w:pStyle w:val="ListBullet"/>
      </w:pPr>
      <w:r>
        <w:rPr>
          <w:b/>
        </w:rPr>
        <w:t>Unapproved Production Changes:</w:t>
      </w:r>
      <w:r>
        <w:t xml:space="preserve"> Allowing Change operations against production without appropriate approval workflow.</w:t>
      </w:r>
    </w:p>
    <w:p>
      <w:pPr>
        <w:pStyle w:val="ListBullet"/>
      </w:pPr>
      <w:r>
        <w:rPr>
          <w:b/>
        </w:rPr>
        <w:t>Missing Rollback:</w:t>
      </w:r>
      <w:r>
        <w:t xml:space="preserve"> Executing changes without maintaining the ability to restore previous state.</w:t>
      </w:r>
    </w:p>
    <w:p>
      <w:pPr>
        <w:pStyle w:val="ListBullet"/>
      </w:pPr>
      <w:r>
        <w:rPr>
          <w:b/>
        </w:rPr>
        <w:t>Unlimited Scope:</w:t>
      </w:r>
      <w:r>
        <w:t xml:space="preserve"> Allowing agents to change any configuration parameter without boundaries on sensitive settings.</w:t>
      </w:r>
    </w:p>
    <w:p>
      <w:pPr>
        <w:pStyle w:val="ListBullet"/>
      </w:pPr>
      <w:r>
        <w:rPr>
          <w:b/>
        </w:rPr>
        <w:t>Change-as-Bypass:</w:t>
      </w:r>
      <w:r>
        <w:t xml:space="preserve"> Using Change operations to modify access controls or security settings as a privilege escalation technique.</w:t>
      </w:r>
    </w:p>
    <w:p>
      <w:pPr>
        <w:pStyle w:val="ListBullet"/>
      </w:pPr>
      <w:r>
        <w:rPr>
          <w:b/>
        </w:rPr>
        <w:t>Silent Failures:</w:t>
      </w:r>
      <w:r>
        <w:t xml:space="preserve"> Executing changes without verification and alerting on failures.</w:t>
      </w:r>
    </w:p>
    <w:p>
      <w:pPr>
        <w:pStyle w:val="Heading1"/>
      </w:pPr>
      <w:r>
        <w:t>8. Delete Operations: Protected Destruction</w:t>
      </w:r>
    </w:p>
    <w:p>
      <w:pPr>
        <w:pStyle w:val="Heading2"/>
      </w:pPr>
      <w:r>
        <w:t>8.1 Definition and Scope</w:t>
      </w:r>
    </w:p>
    <w:p>
      <w:r>
        <w:t>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ListBullet"/>
      </w:pPr>
      <w:r>
        <w:rPr>
          <w:b/>
        </w:rPr>
        <w:t>Core Delete Capabilities:</w:t>
      </w:r>
      <w:r>
        <w:t xml:space="preserve"> Remove files and data records, decommission virtual machines and containers, delete user accounts and service identities, terminate services and applications, purge database tables, remove network configurations, and destroy storage volumes.</w:t>
      </w:r>
    </w:p>
    <w:p>
      <w:pPr>
        <w:pStyle w:val="ListBullet"/>
      </w:pPr>
      <w:r>
        <w:rPr>
          <w:b/>
        </w:rPr>
        <w:t>Key Characteristic - Potential Irreversibility:</w:t>
      </w:r>
      <w:r>
        <w:t xml:space="preserve"> Delete operations may be irreversible, particularly for data destruction. Even with backups, recovery can be time-consuming, incomplete, or impossible depending on backup coverage and retention policies.</w:t>
      </w:r>
    </w:p>
    <w:p>
      <w:pPr>
        <w:pStyle w:val="Heading2"/>
      </w:pPr>
      <w:r>
        <w:t>8.2 Risk Profile</w:t>
      </w:r>
    </w:p>
    <w:p>
      <w:r>
        <w:t>Delete operations carry a Critical risk profile with severe considerations:</w:t>
      </w:r>
    </w:p>
    <w:p>
      <w:pPr>
        <w:pStyle w:val="ListBullet"/>
      </w:pPr>
      <w:r>
        <w:rPr>
          <w:b/>
        </w:rPr>
        <w:t>Data Loss:</w:t>
      </w:r>
      <w:r>
        <w:t xml:space="preserve"> Deleted data may be permanently lost if backups are inadequate or non-existent, causing irreparable harm.</w:t>
      </w:r>
    </w:p>
    <w:p>
      <w:pPr>
        <w:pStyle w:val="ListBullet"/>
      </w:pPr>
      <w:r>
        <w:rPr>
          <w:b/>
        </w:rPr>
        <w:t>Service Termination:</w:t>
      </w:r>
      <w:r>
        <w:t xml:space="preserve"> Deleting active resources can cause immediate service outages affecting users and business operations.</w:t>
      </w:r>
    </w:p>
    <w:p>
      <w:pPr>
        <w:pStyle w:val="ListBullet"/>
      </w:pPr>
      <w:r>
        <w:rPr>
          <w:b/>
        </w:rPr>
        <w:t>Compliance Violations:</w:t>
      </w:r>
      <w:r>
        <w:t xml:space="preserve"> Premature deletion of regulated data can trigger legal penalties and compliance failures.</w:t>
      </w:r>
    </w:p>
    <w:p>
      <w:pPr>
        <w:pStyle w:val="ListBullet"/>
      </w:pPr>
      <w:r>
        <w:rPr>
          <w:b/>
        </w:rPr>
        <w:t>Cascade Failures:</w:t>
      </w:r>
      <w:r>
        <w:t xml:space="preserve"> Deleting resources that other systems depend upon can cause widespread cascading failures.</w:t>
      </w:r>
    </w:p>
    <w:p>
      <w:pPr>
        <w:pStyle w:val="ListBullet"/>
      </w:pPr>
      <w:r>
        <w:rPr>
          <w:b/>
        </w:rPr>
        <w:t>Malicious Exploitation:</w:t>
      </w:r>
      <w:r>
        <w:t xml:space="preserve"> Delete capabilities are high-value targets for attackers seeking to cause maximum damage.</w:t>
      </w:r>
    </w:p>
    <w:p>
      <w:pPr>
        <w:pStyle w:val="Heading2"/>
      </w:pPr>
      <w:r>
        <w:t>8.3 Delete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Dependency check; backup verified</w:t>
            </w:r>
          </w:p>
        </w:tc>
        <w:tc>
          <w:tcPr>
            <w:tcW w:type="dxa" w:w="2412"/>
          </w:tcPr>
          <w:p>
            <w:r>
              <w:rPr>
                <w:sz w:val="19"/>
              </w:rPr>
            </w:r>
            <w:r>
              <w:rPr>
                <w:sz w:val="19"/>
              </w:rPr>
              <w:t>Inventory update; retention log</w:t>
            </w:r>
          </w:p>
        </w:tc>
      </w:tr>
      <w:tr>
        <w:tc>
          <w:tcPr>
            <w:tcW w:type="dxa" w:w="2412"/>
          </w:tcPr>
          <w:p>
            <w:r>
              <w:rPr>
                <w:sz w:val="19"/>
              </w:rPr>
            </w:r>
            <w:r>
              <w:rPr>
                <w:sz w:val="19"/>
              </w:rPr>
              <w:t>Internal</w:t>
            </w:r>
          </w:p>
        </w:tc>
        <w:tc>
          <w:tcPr>
            <w:tcW w:type="dxa" w:w="2412"/>
          </w:tcPr>
          <w:p>
            <w:r>
              <w:rPr>
                <w:sz w:val="19"/>
              </w:rPr>
            </w:r>
            <w:r>
              <w:rPr>
                <w:sz w:val="19"/>
              </w:rPr>
              <w:t>Elevated Approval</w:t>
            </w:r>
          </w:p>
        </w:tc>
        <w:tc>
          <w:tcPr>
            <w:tcW w:type="dxa" w:w="2412"/>
          </w:tcPr>
          <w:p>
            <w:r>
              <w:rPr>
                <w:sz w:val="19"/>
              </w:rPr>
            </w:r>
            <w:r>
              <w:rPr>
                <w:sz w:val="19"/>
              </w:rPr>
              <w:t>Owner confirmation; retention check</w:t>
            </w:r>
          </w:p>
        </w:tc>
        <w:tc>
          <w:tcPr>
            <w:tcW w:type="dxa" w:w="2412"/>
          </w:tcPr>
          <w:p>
            <w:r>
              <w:rPr>
                <w:sz w:val="19"/>
              </w:rPr>
            </w:r>
            <w:r>
              <w:rPr>
                <w:sz w:val="19"/>
              </w:rPr>
              <w:t>Deletion certificate; audit record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Legal/compliance review; hold check</w:t>
            </w:r>
          </w:p>
        </w:tc>
        <w:tc>
          <w:tcPr>
            <w:tcW w:type="dxa" w:w="2412"/>
          </w:tcPr>
          <w:p>
            <w:r>
              <w:rPr>
                <w:sz w:val="19"/>
              </w:rPr>
            </w:r>
            <w:r>
              <w:rPr>
                <w:sz w:val="19"/>
              </w:rPr>
              <w:t>Secure destruction cert;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identify; human executes</w:t>
            </w:r>
          </w:p>
        </w:tc>
      </w:tr>
    </w:tbl>
    <w:p/>
    <w:p>
      <w:r>
        <w:t>Note: Delete operations against Restricted data are Prohibited for autonomous agents. Additionally, Delete operations generally require the highest autonomy controls at every data classification level compared to other operations.</w:t>
      </w:r>
    </w:p>
    <w:p>
      <w:pPr>
        <w:pStyle w:val="Heading2"/>
      </w:pPr>
      <w:r>
        <w:t>8.4 Delete Operation Agent Patterns</w:t>
      </w:r>
    </w:p>
    <w:p>
      <w:pPr>
        <w:pStyle w:val="ListBullet"/>
      </w:pPr>
      <w:r>
        <w:rPr>
          <w:b/>
        </w:rPr>
        <w:t>Retention Policy Agents:</w:t>
      </w:r>
      <w:r>
        <w:t xml:space="preserve"> Identify data eligible for deletion based on retention schedules. Agent identifies candidates; human approves batch deletion; agent executes approved deletions.</w:t>
      </w:r>
    </w:p>
    <w:p>
      <w:pPr>
        <w:pStyle w:val="ListBullet"/>
      </w:pPr>
      <w:r>
        <w:rPr>
          <w:b/>
        </w:rPr>
        <w:t>Resource Cleanup Agents:</w:t>
      </w:r>
      <w:r>
        <w:t xml:space="preserve"> Remove orphaned or expired resources to control costs and reduce sprawl. Pre-approved for resources past expiration with no recent activity; notification to owners before deletion.</w:t>
      </w:r>
    </w:p>
    <w:p>
      <w:pPr>
        <w:pStyle w:val="ListBullet"/>
      </w:pPr>
      <w:r>
        <w:rPr>
          <w:b/>
        </w:rPr>
        <w:t>Decommissioning Agents:</w:t>
      </w:r>
      <w:r>
        <w:t xml:space="preserve"> Coordinate the removal of systems being retired. Orchestrate the deletion workflow; require approval at each stage; maintain audit trail.</w:t>
      </w:r>
    </w:p>
    <w:p>
      <w:pPr>
        <w:pStyle w:val="ListBullet"/>
      </w:pPr>
      <w:r>
        <w:rPr>
          <w:b/>
        </w:rPr>
        <w:t>Secure Disposal Agents:</w:t>
      </w:r>
      <w:r>
        <w:t xml:space="preserve"> Ensure data is securely destroyed according to compliance requirements. For Confidential data only; requires elevated approval; generates destruction certificates.</w:t>
      </w:r>
    </w:p>
    <w:p>
      <w:pPr>
        <w:pStyle w:val="Heading2"/>
      </w:pPr>
      <w:r>
        <w:t>8.5 Delete Operation Safeguards</w:t>
      </w:r>
    </w:p>
    <w:p>
      <w:pPr>
        <w:pStyle w:val="ListBullet"/>
      </w:pPr>
      <w:r>
        <w:rPr>
          <w:b/>
        </w:rPr>
        <w:t>Soft Delete First:</w:t>
      </w:r>
      <w:r>
        <w:t xml:space="preserve"> Implement soft deletion (mark as deleted) before hard deletion, with a grace period for recovery.</w:t>
      </w:r>
    </w:p>
    <w:p>
      <w:pPr>
        <w:pStyle w:val="ListBullet"/>
      </w:pPr>
      <w:r>
        <w:rPr>
          <w:b/>
        </w:rPr>
        <w:t>Dependency Analysis:</w:t>
      </w:r>
      <w:r>
        <w:t xml:space="preserve"> Before any deletion, analyze and report dependencies that would be affected.</w:t>
      </w:r>
    </w:p>
    <w:p>
      <w:pPr>
        <w:pStyle w:val="ListBullet"/>
      </w:pPr>
      <w:r>
        <w:rPr>
          <w:b/>
        </w:rPr>
        <w:t>Legal Hold Check:</w:t>
      </w:r>
      <w:r>
        <w:t xml:space="preserve"> Verify that data is not subject to legal holds or litigation preservation requirements.</w:t>
      </w:r>
    </w:p>
    <w:p>
      <w:pPr>
        <w:pStyle w:val="ListBullet"/>
      </w:pPr>
      <w:r>
        <w:rPr>
          <w:b/>
        </w:rPr>
        <w:t>Retention Compliance:</w:t>
      </w:r>
      <w:r>
        <w:t xml:space="preserve"> Confirm that minimum retention periods have been satisfied before deletion.</w:t>
      </w:r>
    </w:p>
    <w:p>
      <w:pPr>
        <w:pStyle w:val="ListBullet"/>
      </w:pPr>
      <w:r>
        <w:rPr>
          <w:b/>
        </w:rPr>
        <w:t>Owner Notification:</w:t>
      </w:r>
      <w:r>
        <w:t xml:space="preserve"> Require explicit owner acknowledgment before deleting any resource with an assigned owner.</w:t>
      </w:r>
    </w:p>
    <w:p>
      <w:pPr>
        <w:pStyle w:val="ListBullet"/>
      </w:pPr>
      <w:r>
        <w:rPr>
          <w:b/>
        </w:rPr>
        <w:t>Destruction Certification:</w:t>
      </w:r>
      <w:r>
        <w:t xml:space="preserve"> Generate auditable certificates of destruction for compliance-regulated data.</w:t>
      </w:r>
    </w:p>
    <w:p>
      <w:pPr>
        <w:pStyle w:val="ListBullet"/>
      </w:pPr>
      <w:r>
        <w:rPr>
          <w:b/>
        </w:rPr>
        <w:t>Two-Person Rule:</w:t>
      </w:r>
      <w:r>
        <w:t xml:space="preserve"> For Confidential data deletion, require approval from two independent approvers.</w:t>
      </w:r>
    </w:p>
    <w:p>
      <w:pPr>
        <w:pStyle w:val="Heading2"/>
      </w:pPr>
      <w:r>
        <w:t>8.6 Anti-Patterns to Avoid</w:t>
      </w:r>
    </w:p>
    <w:p>
      <w:pPr>
        <w:pStyle w:val="ListBullet"/>
      </w:pPr>
      <w:r>
        <w:rPr>
          <w:b/>
        </w:rPr>
        <w:t>Immediate Hard Delete:</w:t>
      </w:r>
      <w:r>
        <w:t xml:space="preserve"> Deleting data without a soft-delete grace period that allows recovery.</w:t>
      </w:r>
    </w:p>
    <w:p>
      <w:pPr>
        <w:pStyle w:val="ListBullet"/>
      </w:pPr>
      <w:r>
        <w:rPr>
          <w:b/>
        </w:rPr>
        <w:t>Bypassing Retention:</w:t>
      </w:r>
      <w:r>
        <w:t xml:space="preserve"> Deleting data before retention requirements are satisfied, creating compliance violations.</w:t>
      </w:r>
    </w:p>
    <w:p>
      <w:pPr>
        <w:pStyle w:val="ListBullet"/>
      </w:pPr>
      <w:r>
        <w:rPr>
          <w:b/>
        </w:rPr>
        <w:t>Ignoring Dependencies:</w:t>
      </w:r>
      <w:r>
        <w:t xml:space="preserve"> Deleting resources without checking for dependent systems or data.</w:t>
      </w:r>
    </w:p>
    <w:p>
      <w:pPr>
        <w:pStyle w:val="ListBullet"/>
      </w:pPr>
      <w:r>
        <w:rPr>
          <w:b/>
        </w:rPr>
        <w:t>Silent Destruction:</w:t>
      </w:r>
      <w:r>
        <w:t xml:space="preserve"> Deleting resources without audit trails or owner notification.</w:t>
      </w:r>
    </w:p>
    <w:p>
      <w:pPr>
        <w:pStyle w:val="ListBullet"/>
      </w:pPr>
      <w:r>
        <w:rPr>
          <w:b/>
        </w:rPr>
        <w:t>Delete-as-Attack:</w:t>
      </w:r>
      <w:r>
        <w:t xml:space="preserve"> Insufficient controls allowing compromised agents to execute mass deletion attacks.</w:t>
      </w:r>
    </w:p>
    <w:p>
      <w:pPr>
        <w:pStyle w:val="ListBullet"/>
      </w:pPr>
      <w:r>
        <w:rPr>
          <w:b/>
        </w:rPr>
        <w:t>Orphan Creation:</w:t>
      </w:r>
      <w:r>
        <w:t xml:space="preserve"> Deleting parent resources while leaving dependent resources orphaned.</w:t>
      </w:r>
    </w:p>
    <w:p>
      <w:pPr>
        <w:pStyle w:val="Heading1"/>
      </w:pPr>
      <w:r>
        <w:t>9. Implementation: Guardrails for Agentic Platforms</w:t>
      </w:r>
    </w:p>
    <w:p>
      <w:pPr>
        <w:pStyle w:val="Heading2"/>
      </w:pPr>
      <w:r>
        <w:t>9.1 Permission Profile Templates</w:t>
      </w:r>
    </w:p>
    <w:p>
      <w:r>
        <w:t>RMACD permissions can be expressed as profiles that define an agent's operational boundaries across data classifications. The following templates provide starting points for common agent roles: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Agent Profile</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Observer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 (notify)</w:t>
            </w:r>
          </w:p>
        </w:tc>
      </w:tr>
      <w:tr>
        <w:tc>
          <w:tcPr>
            <w:tcW w:type="dxa" w:w="1930"/>
          </w:tcPr>
          <w:p>
            <w:r>
              <w:rPr>
                <w:sz w:val="19"/>
              </w:rPr>
            </w:r>
            <w:r>
              <w:rPr>
                <w:sz w:val="19"/>
              </w:rPr>
              <w:t>Logistics</w:t>
            </w:r>
          </w:p>
        </w:tc>
        <w:tc>
          <w:tcPr>
            <w:tcW w:type="dxa" w:w="1930"/>
          </w:tcPr>
          <w:p>
            <w:r>
              <w:rPr>
                <w:sz w:val="19"/>
              </w:rPr>
            </w:r>
            <w:r>
              <w:rPr>
                <w:sz w:val="19"/>
              </w:rPr>
              <w:t>RM</w:t>
            </w:r>
          </w:p>
        </w:tc>
        <w:tc>
          <w:tcPr>
            <w:tcW w:type="dxa" w:w="1930"/>
          </w:tcPr>
          <w:p>
            <w:r>
              <w:rPr>
                <w:sz w:val="19"/>
              </w:rPr>
            </w:r>
            <w:r>
              <w:rPr>
                <w:sz w:val="19"/>
              </w:rPr>
              <w:t>RM</w:t>
            </w:r>
          </w:p>
        </w:tc>
        <w:tc>
          <w:tcPr>
            <w:tcW w:type="dxa" w:w="1930"/>
          </w:tcPr>
          <w:p>
            <w:r>
              <w:rPr>
                <w:sz w:val="19"/>
              </w:rPr>
            </w:r>
            <w:r>
              <w:rPr>
                <w:sz w:val="19"/>
              </w:rPr>
              <w:t>R</w:t>
            </w:r>
          </w:p>
        </w:tc>
        <w:tc>
          <w:tcPr>
            <w:tcW w:type="dxa" w:w="1930"/>
          </w:tcPr>
          <w:p>
            <w:r>
              <w:rPr>
                <w:sz w:val="19"/>
              </w:rPr>
            </w:r>
            <w:r>
              <w:rPr>
                <w:sz w:val="19"/>
              </w:rPr>
              <w:t>—</w:t>
            </w:r>
          </w:p>
        </w:tc>
      </w:tr>
      <w:tr>
        <w:tc>
          <w:tcPr>
            <w:tcW w:type="dxa" w:w="1930"/>
          </w:tcPr>
          <w:p>
            <w:r>
              <w:rPr>
                <w:sz w:val="19"/>
              </w:rPr>
            </w:r>
            <w:r>
              <w:rPr>
                <w:sz w:val="19"/>
              </w:rPr>
              <w:t>Provisioning</w:t>
            </w:r>
          </w:p>
        </w:tc>
        <w:tc>
          <w:tcPr>
            <w:tcW w:type="dxa" w:w="1930"/>
          </w:tcPr>
          <w:p>
            <w:r>
              <w:rPr>
                <w:sz w:val="19"/>
              </w:rPr>
            </w:r>
            <w:r>
              <w:rPr>
                <w:sz w:val="19"/>
              </w:rPr>
              <w:t>RMA</w:t>
            </w:r>
          </w:p>
        </w:tc>
        <w:tc>
          <w:tcPr>
            <w:tcW w:type="dxa" w:w="1930"/>
          </w:tcPr>
          <w:p>
            <w:r>
              <w:rPr>
                <w:sz w:val="19"/>
              </w:rPr>
            </w:r>
            <w:r>
              <w:rPr>
                <w:sz w:val="19"/>
              </w:rPr>
              <w:t>RMA</w:t>
            </w:r>
          </w:p>
        </w:tc>
        <w:tc>
          <w:tcPr>
            <w:tcW w:type="dxa" w:w="1930"/>
          </w:tcPr>
          <w:p>
            <w:r>
              <w:rPr>
                <w:sz w:val="19"/>
              </w:rPr>
            </w:r>
            <w:r>
              <w:rPr>
                <w:sz w:val="19"/>
              </w:rPr>
              <w:t>RM</w:t>
            </w:r>
          </w:p>
        </w:tc>
        <w:tc>
          <w:tcPr>
            <w:tcW w:type="dxa" w:w="1930"/>
          </w:tcPr>
          <w:p>
            <w:r>
              <w:rPr>
                <w:sz w:val="19"/>
              </w:rPr>
            </w:r>
            <w:r>
              <w:rPr>
                <w:sz w:val="19"/>
              </w:rPr>
              <w:t>R</w:t>
            </w:r>
          </w:p>
        </w:tc>
      </w:tr>
      <w:tr>
        <w:tc>
          <w:tcPr>
            <w:tcW w:type="dxa" w:w="1930"/>
          </w:tcPr>
          <w:p>
            <w:r>
              <w:rPr>
                <w:sz w:val="19"/>
              </w:rPr>
            </w:r>
            <w:r>
              <w:rPr>
                <w:sz w:val="19"/>
              </w:rPr>
              <w:t>Operations</w:t>
            </w:r>
          </w:p>
        </w:tc>
        <w:tc>
          <w:tcPr>
            <w:tcW w:type="dxa" w:w="1930"/>
          </w:tcPr>
          <w:p>
            <w:r>
              <w:rPr>
                <w:sz w:val="19"/>
              </w:rPr>
            </w:r>
            <w:r>
              <w:rPr>
                <w:sz w:val="19"/>
              </w:rPr>
              <w:t>RMAC</w:t>
            </w:r>
          </w:p>
        </w:tc>
        <w:tc>
          <w:tcPr>
            <w:tcW w:type="dxa" w:w="1930"/>
          </w:tcPr>
          <w:p>
            <w:r>
              <w:rPr>
                <w:sz w:val="19"/>
              </w:rPr>
            </w:r>
            <w:r>
              <w:rPr>
                <w:sz w:val="19"/>
              </w:rPr>
              <w:t>RMAC</w:t>
            </w:r>
          </w:p>
        </w:tc>
        <w:tc>
          <w:tcPr>
            <w:tcW w:type="dxa" w:w="1930"/>
          </w:tcPr>
          <w:p>
            <w:r>
              <w:rPr>
                <w:sz w:val="19"/>
              </w:rPr>
            </w:r>
            <w:r>
              <w:rPr>
                <w:sz w:val="19"/>
              </w:rPr>
              <w:t>RMA</w:t>
            </w:r>
          </w:p>
        </w:tc>
        <w:tc>
          <w:tcPr>
            <w:tcW w:type="dxa" w:w="1930"/>
          </w:tcPr>
          <w:p>
            <w:r>
              <w:rPr>
                <w:sz w:val="19"/>
              </w:rPr>
            </w:r>
            <w:r>
              <w:rPr>
                <w:sz w:val="19"/>
              </w:rPr>
              <w:t>R</w:t>
            </w:r>
          </w:p>
        </w:tc>
      </w:tr>
      <w:tr>
        <w:tc>
          <w:tcPr>
            <w:tcW w:type="dxa" w:w="1930"/>
          </w:tcPr>
          <w:p>
            <w:r>
              <w:rPr>
                <w:sz w:val="19"/>
              </w:rPr>
            </w:r>
            <w:r>
              <w:rPr>
                <w:sz w:val="19"/>
              </w:rPr>
              <w:t>Administrator</w:t>
            </w:r>
          </w:p>
        </w:tc>
        <w:tc>
          <w:tcPr>
            <w:tcW w:type="dxa" w:w="1930"/>
          </w:tcPr>
          <w:p>
            <w:r>
              <w:rPr>
                <w:sz w:val="19"/>
              </w:rPr>
            </w:r>
            <w:r>
              <w:rPr>
                <w:sz w:val="19"/>
              </w:rPr>
              <w:t>RMACD</w:t>
            </w:r>
          </w:p>
        </w:tc>
        <w:tc>
          <w:tcPr>
            <w:tcW w:type="dxa" w:w="1930"/>
          </w:tcPr>
          <w:p>
            <w:r>
              <w:rPr>
                <w:sz w:val="19"/>
              </w:rPr>
            </w:r>
            <w:r>
              <w:rPr>
                <w:sz w:val="19"/>
              </w:rPr>
              <w:t>RMACD</w:t>
            </w:r>
          </w:p>
        </w:tc>
        <w:tc>
          <w:tcPr>
            <w:tcW w:type="dxa" w:w="1930"/>
          </w:tcPr>
          <w:p>
            <w:r>
              <w:rPr>
                <w:sz w:val="19"/>
              </w:rPr>
            </w:r>
            <w:r>
              <w:rPr>
                <w:sz w:val="19"/>
              </w:rPr>
              <w:t>RMAC</w:t>
            </w:r>
          </w:p>
        </w:tc>
        <w:tc>
          <w:tcPr>
            <w:tcW w:type="dxa" w:w="1930"/>
          </w:tcPr>
          <w:p>
            <w:r>
              <w:rPr>
                <w:sz w:val="19"/>
              </w:rPr>
            </w:r>
            <w:r>
              <w:rPr>
                <w:sz w:val="19"/>
              </w:rPr>
              <w:t>RM</w:t>
            </w:r>
          </w:p>
        </w:tc>
      </w:tr>
    </w:tbl>
    <w:p/>
    <w:p>
      <w:r>
        <w:t>Note: Even Administrator agents do not receive full RMACD permissions on Restricted data. Change and Delete operations on Restricted data remain human-only in the default model.</w:t>
      </w:r>
    </w:p>
    <w:p>
      <w:pPr>
        <w:pStyle w:val="Heading2"/>
      </w:pPr>
      <w:r>
        <w:t>9.2 Environment-Based Differentiation</w:t>
      </w:r>
    </w:p>
    <w:p>
      <w:r>
        <w:t>The same agent should have different permission profiles across environments. Production environments warrant stricter controls than development or staging:</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Environment</w:t>
            </w:r>
          </w:p>
        </w:tc>
        <w:tc>
          <w:tcPr>
            <w:tcW w:type="dxa" w:w="2412"/>
          </w:tcPr>
          <w:p>
            <w:r>
              <w:rPr>
                <w:b/>
                <w:sz w:val="19"/>
              </w:rPr>
            </w:r>
            <w:r>
              <w:rPr>
                <w:b/>
                <w:sz w:val="19"/>
              </w:rPr>
              <w:t>DevOps Agent</w:t>
            </w:r>
          </w:p>
        </w:tc>
        <w:tc>
          <w:tcPr>
            <w:tcW w:type="dxa" w:w="2412"/>
          </w:tcPr>
          <w:p>
            <w:r>
              <w:rPr>
                <w:b/>
                <w:sz w:val="19"/>
              </w:rPr>
            </w:r>
            <w:r>
              <w:rPr>
                <w:b/>
                <w:sz w:val="19"/>
              </w:rPr>
              <w:t>Security Agent</w:t>
            </w:r>
          </w:p>
        </w:tc>
        <w:tc>
          <w:tcPr>
            <w:tcW w:type="dxa" w:w="2412"/>
          </w:tcPr>
          <w:p>
            <w:r>
              <w:rPr>
                <w:b/>
                <w:sz w:val="19"/>
              </w:rPr>
            </w:r>
            <w:r>
              <w:rPr>
                <w:b/>
                <w:sz w:val="19"/>
              </w:rPr>
              <w:t>Data Scope</w:t>
            </w:r>
          </w:p>
        </w:tc>
      </w:tr>
      <w:tr>
        <w:tc>
          <w:tcPr>
            <w:tcW w:type="dxa" w:w="2412"/>
          </w:tcPr>
          <w:p>
            <w:r>
              <w:rPr>
                <w:sz w:val="19"/>
              </w:rPr>
            </w:r>
            <w:r>
              <w:rPr>
                <w:sz w:val="19"/>
              </w:rPr>
              <w:t>Development</w:t>
            </w:r>
          </w:p>
        </w:tc>
        <w:tc>
          <w:tcPr>
            <w:tcW w:type="dxa" w:w="2412"/>
          </w:tcPr>
          <w:p>
            <w:r>
              <w:rPr>
                <w:sz w:val="19"/>
              </w:rPr>
            </w:r>
            <w:r>
              <w:rPr>
                <w:sz w:val="19"/>
              </w:rPr>
              <w:t>RMACD (all tiers)</w:t>
            </w:r>
          </w:p>
        </w:tc>
        <w:tc>
          <w:tcPr>
            <w:tcW w:type="dxa" w:w="2412"/>
          </w:tcPr>
          <w:p>
            <w:r>
              <w:rPr>
                <w:sz w:val="19"/>
              </w:rPr>
            </w:r>
            <w:r>
              <w:rPr>
                <w:sz w:val="19"/>
              </w:rPr>
              <w:t>RMAC</w:t>
            </w:r>
          </w:p>
        </w:tc>
        <w:tc>
          <w:tcPr>
            <w:tcW w:type="dxa" w:w="2412"/>
          </w:tcPr>
          <w:p>
            <w:r>
              <w:rPr>
                <w:sz w:val="19"/>
              </w:rPr>
            </w:r>
            <w:r>
              <w:rPr>
                <w:sz w:val="19"/>
              </w:rPr>
              <w:t>Synthetic only</w:t>
            </w:r>
          </w:p>
        </w:tc>
      </w:tr>
      <w:tr>
        <w:tc>
          <w:tcPr>
            <w:tcW w:type="dxa" w:w="2412"/>
          </w:tcPr>
          <w:p>
            <w:r>
              <w:rPr>
                <w:sz w:val="19"/>
              </w:rPr>
            </w:r>
            <w:r>
              <w:rPr>
                <w:sz w:val="19"/>
              </w:rPr>
              <w:t>Staging</w:t>
            </w:r>
          </w:p>
        </w:tc>
        <w:tc>
          <w:tcPr>
            <w:tcW w:type="dxa" w:w="2412"/>
          </w:tcPr>
          <w:p>
            <w:r>
              <w:rPr>
                <w:sz w:val="19"/>
              </w:rPr>
            </w:r>
            <w:r>
              <w:rPr>
                <w:sz w:val="19"/>
              </w:rPr>
              <w:t>RMAC (to Confid.)</w:t>
            </w:r>
          </w:p>
        </w:tc>
        <w:tc>
          <w:tcPr>
            <w:tcW w:type="dxa" w:w="2412"/>
          </w:tcPr>
          <w:p>
            <w:r>
              <w:rPr>
                <w:sz w:val="19"/>
              </w:rPr>
            </w:r>
            <w:r>
              <w:rPr>
                <w:sz w:val="19"/>
              </w:rPr>
              <w:t>RMA</w:t>
            </w:r>
          </w:p>
        </w:tc>
        <w:tc>
          <w:tcPr>
            <w:tcW w:type="dxa" w:w="2412"/>
          </w:tcPr>
          <w:p>
            <w:r>
              <w:rPr>
                <w:sz w:val="19"/>
              </w:rPr>
            </w:r>
            <w:r>
              <w:rPr>
                <w:sz w:val="19"/>
              </w:rPr>
              <w:t>Anonymized</w:t>
            </w:r>
          </w:p>
        </w:tc>
      </w:tr>
      <w:tr>
        <w:tc>
          <w:tcPr>
            <w:tcW w:type="dxa" w:w="2412"/>
          </w:tcPr>
          <w:p>
            <w:r>
              <w:rPr>
                <w:sz w:val="19"/>
              </w:rPr>
            </w:r>
            <w:r>
              <w:rPr>
                <w:sz w:val="19"/>
              </w:rPr>
              <w:t>Production</w:t>
            </w:r>
          </w:p>
        </w:tc>
        <w:tc>
          <w:tcPr>
            <w:tcW w:type="dxa" w:w="2412"/>
          </w:tcPr>
          <w:p>
            <w:r>
              <w:rPr>
                <w:sz w:val="19"/>
              </w:rPr>
            </w:r>
            <w:r>
              <w:rPr>
                <w:sz w:val="19"/>
              </w:rPr>
              <w:t>RM (to Internal)</w:t>
            </w:r>
          </w:p>
        </w:tc>
        <w:tc>
          <w:tcPr>
            <w:tcW w:type="dxa" w:w="2412"/>
          </w:tcPr>
          <w:p>
            <w:r>
              <w:rPr>
                <w:sz w:val="19"/>
              </w:rPr>
            </w:r>
            <w:r>
              <w:rPr>
                <w:sz w:val="19"/>
              </w:rPr>
              <w:t>R only</w:t>
            </w:r>
          </w:p>
        </w:tc>
        <w:tc>
          <w:tcPr>
            <w:tcW w:type="dxa" w:w="2412"/>
          </w:tcPr>
          <w:p>
            <w:r>
              <w:rPr>
                <w:sz w:val="19"/>
              </w:rPr>
            </w:r>
            <w:r>
              <w:rPr>
                <w:sz w:val="19"/>
              </w:rPr>
              <w:t>Full classification</w:t>
            </w:r>
          </w:p>
        </w:tc>
      </w:tr>
    </w:tbl>
    <w:p/>
    <w:p>
      <w:pPr>
        <w:pStyle w:val="Heading2"/>
      </w:pPr>
      <w:r>
        <w:t>9.3 Integration with Change Management</w:t>
      </w:r>
    </w:p>
    <w:p>
      <w:r>
        <w:t>RMACD integrates naturally with existing ITIL change management processes. The combination of operation type and data classification determines the appropriate change category:</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RMACD Operation</w:t>
            </w:r>
          </w:p>
        </w:tc>
        <w:tc>
          <w:tcPr>
            <w:tcW w:type="dxa" w:w="2412"/>
          </w:tcPr>
          <w:p>
            <w:r>
              <w:rPr>
                <w:b/>
                <w:sz w:val="19"/>
              </w:rPr>
            </w:r>
            <w:r>
              <w:rPr>
                <w:b/>
                <w:sz w:val="19"/>
              </w:rPr>
              <w:t>Public/Internal</w:t>
            </w:r>
          </w:p>
        </w:tc>
        <w:tc>
          <w:tcPr>
            <w:tcW w:type="dxa" w:w="2412"/>
          </w:tcPr>
          <w:p>
            <w:r>
              <w:rPr>
                <w:b/>
                <w:sz w:val="19"/>
              </w:rPr>
            </w:r>
            <w:r>
              <w:rPr>
                <w:b/>
                <w:sz w:val="19"/>
              </w:rPr>
              <w:t>Confidential</w:t>
            </w:r>
          </w:p>
        </w:tc>
        <w:tc>
          <w:tcPr>
            <w:tcW w:type="dxa" w:w="2412"/>
          </w:tcPr>
          <w:p>
            <w:r>
              <w:rPr>
                <w:b/>
                <w:sz w:val="19"/>
              </w:rPr>
            </w:r>
            <w:r>
              <w:rPr>
                <w:b/>
                <w:sz w:val="19"/>
              </w:rPr>
              <w:t>Restricted</w:t>
            </w:r>
          </w:p>
        </w:tc>
      </w:tr>
      <w:tr>
        <w:tc>
          <w:tcPr>
            <w:tcW w:type="dxa" w:w="2412"/>
          </w:tcPr>
          <w:p>
            <w:r>
              <w:rPr>
                <w:sz w:val="19"/>
              </w:rPr>
            </w:r>
            <w:r>
              <w:rPr>
                <w:sz w:val="19"/>
              </w:rPr>
              <w:t>Read</w:t>
            </w:r>
          </w:p>
        </w:tc>
        <w:tc>
          <w:tcPr>
            <w:tcW w:type="dxa" w:w="2412"/>
          </w:tcPr>
          <w:p>
            <w:r>
              <w:rPr>
                <w:sz w:val="19"/>
              </w:rPr>
            </w:r>
            <w:r>
              <w:rPr>
                <w:sz w:val="19"/>
              </w:rPr>
              <w:t>No RFC required</w:t>
            </w:r>
          </w:p>
        </w:tc>
        <w:tc>
          <w:tcPr>
            <w:tcW w:type="dxa" w:w="2412"/>
          </w:tcPr>
          <w:p>
            <w:r>
              <w:rPr>
                <w:sz w:val="19"/>
              </w:rPr>
            </w:r>
            <w:r>
              <w:rPr>
                <w:sz w:val="19"/>
              </w:rPr>
              <w:t>No RFC required</w:t>
            </w:r>
          </w:p>
        </w:tc>
        <w:tc>
          <w:tcPr>
            <w:tcW w:type="dxa" w:w="2412"/>
          </w:tcPr>
          <w:p>
            <w:r>
              <w:rPr>
                <w:sz w:val="19"/>
              </w:rPr>
            </w:r>
            <w:r>
              <w:rPr>
                <w:sz w:val="19"/>
              </w:rPr>
              <w:t>Standard Change</w:t>
            </w:r>
          </w:p>
        </w:tc>
      </w:tr>
      <w:tr>
        <w:tc>
          <w:tcPr>
            <w:tcW w:type="dxa" w:w="2412"/>
          </w:tcPr>
          <w:p>
            <w:r>
              <w:rPr>
                <w:sz w:val="19"/>
              </w:rPr>
            </w:r>
            <w:r>
              <w:rPr>
                <w:sz w:val="19"/>
              </w:rPr>
              <w:t>Move</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Major Change</w:t>
            </w:r>
          </w:p>
        </w:tc>
      </w:tr>
      <w:tr>
        <w:tc>
          <w:tcPr>
            <w:tcW w:type="dxa" w:w="2412"/>
          </w:tcPr>
          <w:p>
            <w:r>
              <w:rPr>
                <w:sz w:val="19"/>
              </w:rPr>
            </w:r>
            <w:r>
              <w:rPr>
                <w:sz w:val="19"/>
              </w:rPr>
              <w:t>Add</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Major Change</w:t>
            </w:r>
          </w:p>
        </w:tc>
      </w:tr>
      <w:tr>
        <w:tc>
          <w:tcPr>
            <w:tcW w:type="dxa" w:w="2412"/>
          </w:tcPr>
          <w:p>
            <w:r>
              <w:rPr>
                <w:sz w:val="19"/>
              </w:rPr>
            </w:r>
            <w:r>
              <w:rPr>
                <w:sz w:val="19"/>
              </w:rPr>
              <w:t>Change</w:t>
            </w:r>
          </w:p>
        </w:tc>
        <w:tc>
          <w:tcPr>
            <w:tcW w:type="dxa" w:w="2412"/>
          </w:tcPr>
          <w:p>
            <w:r>
              <w:rPr>
                <w:sz w:val="19"/>
              </w:rPr>
            </w:r>
            <w:r>
              <w:rPr>
                <w:sz w:val="19"/>
              </w:rPr>
              <w:t>Normal Change</w:t>
            </w:r>
          </w:p>
        </w:tc>
        <w:tc>
          <w:tcPr>
            <w:tcW w:type="dxa" w:w="2412"/>
          </w:tcPr>
          <w:p>
            <w:r>
              <w:rPr>
                <w:sz w:val="19"/>
              </w:rPr>
            </w:r>
            <w:r>
              <w:rPr>
                <w:sz w:val="19"/>
              </w:rPr>
              <w:t>Major Change</w:t>
            </w:r>
          </w:p>
        </w:tc>
        <w:tc>
          <w:tcPr>
            <w:tcW w:type="dxa" w:w="2412"/>
          </w:tcPr>
          <w:p>
            <w:r>
              <w:rPr>
                <w:sz w:val="19"/>
              </w:rPr>
            </w:r>
            <w:r>
              <w:rPr>
                <w:sz w:val="19"/>
              </w:rPr>
              <w:t>Human Only</w:t>
            </w:r>
          </w:p>
        </w:tc>
      </w:tr>
      <w:tr>
        <w:tc>
          <w:tcPr>
            <w:tcW w:type="dxa" w:w="2412"/>
          </w:tcPr>
          <w:p>
            <w:r>
              <w:rPr>
                <w:sz w:val="19"/>
              </w:rPr>
            </w:r>
            <w:r>
              <w:rPr>
                <w:sz w:val="19"/>
              </w:rPr>
              <w:t>Delete</w:t>
            </w:r>
          </w:p>
        </w:tc>
        <w:tc>
          <w:tcPr>
            <w:tcW w:type="dxa" w:w="2412"/>
          </w:tcPr>
          <w:p>
            <w:r>
              <w:rPr>
                <w:sz w:val="19"/>
              </w:rPr>
            </w:r>
            <w:r>
              <w:rPr>
                <w:sz w:val="19"/>
              </w:rPr>
              <w:t>Normal Change</w:t>
            </w:r>
          </w:p>
        </w:tc>
        <w:tc>
          <w:tcPr>
            <w:tcW w:type="dxa" w:w="2412"/>
          </w:tcPr>
          <w:p>
            <w:r>
              <w:rPr>
                <w:sz w:val="19"/>
              </w:rPr>
            </w:r>
            <w:r>
              <w:rPr>
                <w:sz w:val="19"/>
              </w:rPr>
              <w:t>Major Change</w:t>
            </w:r>
          </w:p>
        </w:tc>
        <w:tc>
          <w:tcPr>
            <w:tcW w:type="dxa" w:w="2412"/>
          </w:tcPr>
          <w:p>
            <w:r>
              <w:rPr>
                <w:sz w:val="19"/>
              </w:rPr>
            </w:r>
            <w:r>
              <w:rPr>
                <w:sz w:val="19"/>
              </w:rPr>
              <w:t>Human Only</w:t>
            </w:r>
          </w:p>
        </w:tc>
      </w:tr>
    </w:tbl>
    <w:p/>
    <w:p>
      <w:pPr>
        <w:pStyle w:val="Heading2"/>
      </w:pPr>
      <w:r>
        <w:t>9.4 Python Tools Registry</w:t>
      </w:r>
    </w:p>
    <w:p>
      <w:r>
        <w:t>The Tools Registry (</w:t>
      </w:r>
      <w:r>
        <w:rPr>
          <w:rFonts w:ascii="Courier New" w:hAnsi="Courier New"/>
          <w:sz w:val="19"/>
        </w:rPr>
        <w:t>rmacd.registry</w:t>
      </w:r>
      <w:r>
        <w:t xml:space="preserve">, SDK 0.8.0+) is the first-class </w:t>
      </w:r>
      <w:r>
        <w:rPr>
          <w:b/>
        </w:rPr>
        <w:t>tool→RMACD classifier and capability layer</w:t>
      </w:r>
      <w:r>
        <w:t xml:space="preserve">. For each tool it declares: the RMACD operation it represents; an optional dynamic classifier that resolves </w:t>
      </w:r>
      <w:r>
        <w:rPr>
          <w:rFonts w:ascii="Courier New" w:hAnsi="Courier New"/>
          <w:sz w:val="19"/>
        </w:rPr>
        <w:t>(operation, data tier, target)</w:t>
      </w:r>
      <w:r>
        <w:t xml:space="preserve"> from a call's arguments (so a Delete on a prod resource resolves to Confidential while the same tool on staging resolves to Internal); and an optional </w:t>
      </w:r>
      <w:r>
        <w:rPr>
          <w:b/>
        </w:rPr>
        <w:t>capability ceiling</w:t>
      </w:r>
      <w:r>
        <w:t xml:space="preserve"> bounding what the tool may ever do. This is the component that closes the resource-classification gap — mapping a concrete tool call to RMACD terms — without hand-written per-integration glue.</w:t>
      </w:r>
    </w:p>
    <w:p>
      <w:r>
        <w:t xml:space="preserve">It binds directly to the enforcement layer (§9.5): </w:t>
      </w:r>
      <w:r>
        <w:rPr>
          <w:rFonts w:ascii="Courier New" w:hAnsi="Courier New"/>
          <w:sz w:val="19"/>
        </w:rPr>
        <w:t>PolicyEnforcer.enforce_tool_call(tool_name, args)</w:t>
      </w:r>
      <w:r>
        <w:t xml:space="preserve"> looks the tool up in the registry, classifies the call, checks the tool's capability ceiling, then evaluates the resolved </w:t>
      </w:r>
      <w:r>
        <w:rPr>
          <w:rFonts w:ascii="Courier New" w:hAnsi="Courier New"/>
          <w:sz w:val="19"/>
        </w:rPr>
        <w:t>(operation, tier)</w:t>
      </w:r>
      <w:r>
        <w:t xml:space="preserve"> against the agent's profile. Enforcement is the </w:t>
      </w:r>
      <w:r>
        <w:rPr>
          <w:b/>
        </w:rPr>
        <w:t>intersection</w:t>
      </w:r>
      <w:r>
        <w:t xml:space="preserve"> — the agent profile must allow it </w:t>
      </w:r>
      <w:r>
        <w:rPr>
          <w:b/>
        </w:rPr>
        <w:t>and</w:t>
      </w:r>
      <w:r>
        <w:t xml:space="preserve"> the tool's capability must allow it — with the §12.5 safety floor always applied. The registry also computes aggregate risk for multi-tool workflows and auto-classifies MCP servers.</w:t>
      </w:r>
    </w:p>
    <w:p>
      <w:pPr>
        <w:pStyle w:val="Heading3"/>
      </w:pPr>
      <w:r>
        <w:t>Core Capabilities</w:t>
      </w:r>
    </w:p>
    <w:p>
      <w:r>
        <w:t>The Tools Registry provides:</w:t>
      </w:r>
    </w:p>
    <w:p>
      <w:pPr>
        <w:pStyle w:val="ListBullet"/>
      </w:pPr>
      <w:r>
        <w:rPr>
          <w:b/>
        </w:rPr>
        <w:t>Tool Registration and Classification</w:t>
      </w:r>
      <w:r>
        <w:t xml:space="preserve"> — Register tools with their RMACD level, data classification requirements, and HITL controls</w:t>
      </w:r>
    </w:p>
    <w:p>
      <w:pPr>
        <w:pStyle w:val="ListBullet"/>
      </w:pPr>
      <w:r>
        <w:rPr>
          <w:b/>
        </w:rPr>
        <w:t>Permission Validation</w:t>
      </w:r>
      <w:r>
        <w:t xml:space="preserve"> — Validate tool access against agent permission profiles before execution</w:t>
      </w:r>
    </w:p>
    <w:p>
      <w:pPr>
        <w:pStyle w:val="ListBullet"/>
      </w:pPr>
      <w:r>
        <w:rPr>
          <w:b/>
        </w:rPr>
        <w:t>Risk Scoring</w:t>
      </w:r>
      <w:r>
        <w:t xml:space="preserve"> — Automatically calculate risk scores for individual tools and multi-tool workflows</w:t>
      </w:r>
    </w:p>
    <w:p>
      <w:pPr>
        <w:pStyle w:val="ListBullet"/>
      </w:pPr>
      <w:r>
        <w:rPr>
          <w:b/>
        </w:rPr>
        <w:t>Audit Logging</w:t>
      </w:r>
      <w:r>
        <w:t xml:space="preserve"> — Track all tool registrations, access validations (allows </w:t>
      </w:r>
      <w:r>
        <w:rPr>
          <w:i/>
        </w:rPr>
        <w:t>and</w:t>
      </w:r>
      <w:r>
        <w:t xml:space="preserve"> denials), and policy decisions</w:t>
      </w:r>
    </w:p>
    <w:p>
      <w:pPr>
        <w:pStyle w:val="ListBullet"/>
      </w:pPr>
      <w:r>
        <w:rPr>
          <w:b/>
        </w:rPr>
        <w:t>MCP Integration</w:t>
      </w:r>
      <w:r>
        <w:t xml:space="preserve"> — Auto-classify Model Context Protocol (MCP) tools, with a capability ceiling at the inferred operation, classification provenance metadata, and a human-review queue for low-confidence results</w:t>
      </w:r>
    </w:p>
    <w:p>
      <w:pPr>
        <w:pStyle w:val="ListBullet"/>
      </w:pPr>
      <w:r>
        <w:rPr>
          <w:b/>
        </w:rPr>
        <w:t>LLM-Assisted Classification</w:t>
      </w:r>
      <w:r>
        <w:t xml:space="preserve"> (SDK 0.10.0+, optional) — A Claude model classifies tool definitions the keyword heuristic cannot, returning a structured </w:t>
      </w:r>
      <w:r>
        <w:rPr>
          <w:rFonts w:ascii="Courier New" w:hAnsi="Courier New"/>
          <w:sz w:val="19"/>
        </w:rPr>
        <w:t>(operation, tier, HITL)</w:t>
      </w:r>
      <w:r>
        <w:t xml:space="preserve"> with rationale and confidence; advisory only — runtime enforcement remains deterministic</w:t>
      </w:r>
    </w:p>
    <w:p>
      <w:pPr>
        <w:pStyle w:val="Heading3"/>
      </w:pPr>
      <w:r>
        <w:t>Risk Scoring Algorithm</w:t>
      </w:r>
    </w:p>
    <w:p>
      <w:r>
        <w:t>The registry calculates risk scores using a weighted formula that combines all three RMACD dimensions:</w:t>
      </w:r>
    </w:p>
    <w:p>
      <w:pPr>
        <w:spacing w:after="160"/>
        <w:ind w:left="360"/>
      </w:pPr>
      <w:r>
        <w:rPr>
          <w:rFonts w:ascii="Courier New" w:hAnsi="Courier New"/>
          <w:sz w:val="17"/>
        </w:rPr>
        <w:t>risk_score = (rmacd_risk × 0.6 + data_risk × 0.4) × hitl_modifier × 10</w:t>
        <w:br/>
      </w:r>
      <w:r>
        <w:rPr>
          <w:rFonts w:ascii="Courier New" w:hAnsi="Courier New"/>
          <w:sz w:val="17"/>
        </w:rPr>
        <w:br/>
      </w:r>
      <w:r>
        <w:rPr>
          <w:rFonts w:ascii="Courier New" w:hAnsi="Courier New"/>
          <w:sz w:val="17"/>
        </w:rPr>
        <w:t>Where:</w:t>
        <w:br/>
      </w:r>
      <w:r>
        <w:rPr>
          <w:rFonts w:ascii="Courier New" w:hAnsi="Courier New"/>
          <w:sz w:val="17"/>
        </w:rPr>
        <w:t xml:space="preserve">  - rmacd_risk: 0.0 (Read) to 1.0 (Delete)</w:t>
        <w:br/>
      </w:r>
      <w:r>
        <w:rPr>
          <w:rFonts w:ascii="Courier New" w:hAnsi="Courier New"/>
          <w:sz w:val="17"/>
        </w:rPr>
        <w:t xml:space="preserve">  - data_risk: 0.0 (Public) to 1.0 (Restricted)</w:t>
        <w:br/>
      </w:r>
      <w:r>
        <w:rPr>
          <w:rFonts w:ascii="Courier New" w:hAnsi="Courier New"/>
          <w:sz w:val="17"/>
        </w:rPr>
        <w:t xml:space="preserve">  - hitl_modifier: 0.0 (Prohibited) to 1.0 (Autonomous)</w:t>
      </w:r>
    </w:p>
    <w:p>
      <w:r>
        <w:t>This produces a 0-10 scale where higher scores indicate greater operational risk.</w:t>
      </w:r>
    </w:p>
    <w:p>
      <w:pPr>
        <w:pStyle w:val="Heading3"/>
      </w:pPr>
      <w:r>
        <w:t>Basic Usage</w:t>
      </w:r>
    </w:p>
    <w:p>
      <w:pPr>
        <w:spacing w:after="160"/>
        <w:ind w:left="360"/>
      </w:pPr>
      <w:r>
        <w:rPr>
          <w:rFonts w:ascii="Courier New" w:hAnsi="Courier New"/>
          <w:sz w:val="17"/>
        </w:rPr>
        <w:t>from rmacd.registry import ToolsRegistry, quick_register</w:t>
        <w:br/>
      </w:r>
      <w:r>
        <w:rPr>
          <w:rFonts w:ascii="Courier New" w:hAnsi="Courier New"/>
          <w:sz w:val="17"/>
        </w:rPr>
        <w:br/>
      </w:r>
      <w:r>
        <w:rPr>
          <w:rFonts w:ascii="Courier New" w:hAnsi="Courier New"/>
          <w:sz w:val="17"/>
        </w:rPr>
        <w:t># Create a registry for your organization</w:t>
        <w:br/>
      </w:r>
      <w:r>
        <w:rPr>
          <w:rFonts w:ascii="Courier New" w:hAnsi="Courier New"/>
          <w:sz w:val="17"/>
        </w:rPr>
        <w:t>registry = ToolsRegistry("my-organization")</w:t>
        <w:br/>
      </w:r>
      <w:r>
        <w:rPr>
          <w:rFonts w:ascii="Courier New" w:hAnsi="Courier New"/>
          <w:sz w:val="17"/>
        </w:rPr>
        <w:br/>
      </w:r>
      <w:r>
        <w:rPr>
          <w:rFonts w:ascii="Courier New" w:hAnsi="Courier New"/>
          <w:sz w:val="17"/>
        </w:rPr>
        <w:t># Register a tool with RMACD classification</w:t>
        <w:br/>
      </w:r>
      <w:r>
        <w:rPr>
          <w:rFonts w:ascii="Courier New" w:hAnsi="Courier New"/>
          <w:sz w:val="17"/>
        </w:rPr>
        <w:t>quick_register(</w:t>
        <w:br/>
      </w:r>
      <w:r>
        <w:rPr>
          <w:rFonts w:ascii="Courier New" w:hAnsi="Courier New"/>
          <w:sz w:val="17"/>
        </w:rPr>
        <w:t xml:space="preserve">    registry,</w:t>
        <w:br/>
      </w:r>
      <w:r>
        <w:rPr>
          <w:rFonts w:ascii="Courier New" w:hAnsi="Courier New"/>
          <w:sz w:val="17"/>
        </w:rPr>
        <w:t xml:space="preserve">    tool_id="database_query",</w:t>
        <w:br/>
      </w:r>
      <w:r>
        <w:rPr>
          <w:rFonts w:ascii="Courier New" w:hAnsi="Courier New"/>
          <w:sz w:val="17"/>
        </w:rPr>
        <w:t xml:space="preserve">    tool_name="Database Query",</w:t>
        <w:br/>
      </w:r>
      <w:r>
        <w:rPr>
          <w:rFonts w:ascii="Courier New" w:hAnsi="Courier New"/>
          <w:sz w:val="17"/>
        </w:rPr>
        <w:t xml:space="preserve">    rmacd_level="R",</w:t>
        <w:br/>
      </w:r>
      <w:r>
        <w:rPr>
          <w:rFonts w:ascii="Courier New" w:hAnsi="Courier New"/>
          <w:sz w:val="17"/>
        </w:rPr>
        <w:t xml:space="preserve">    description="Execute read-only database queries",</w:t>
        <w:br/>
      </w:r>
      <w:r>
        <w:rPr>
          <w:rFonts w:ascii="Courier New" w:hAnsi="Courier New"/>
          <w:sz w:val="17"/>
        </w:rPr>
        <w:t xml:space="preserve">    data_access="confidential",</w:t>
        <w:br/>
      </w:r>
      <w:r>
        <w:rPr>
          <w:rFonts w:ascii="Courier New" w:hAnsi="Courier New"/>
          <w:sz w:val="17"/>
        </w:rPr>
        <w:t xml:space="preserve">    required_hitl="logged"</w:t>
        <w:br/>
      </w:r>
      <w:r>
        <w:rPr>
          <w:rFonts w:ascii="Courier New" w:hAnsi="Courier New"/>
          <w:sz w:val="17"/>
        </w:rPr>
        <w:t>)</w:t>
        <w:br/>
      </w:r>
      <w:r>
        <w:rPr>
          <w:rFonts w:ascii="Courier New" w:hAnsi="Courier New"/>
          <w:sz w:val="17"/>
        </w:rPr>
        <w:br/>
      </w:r>
      <w:r>
        <w:rPr>
          <w:rFonts w:ascii="Courier New" w:hAnsi="Courier New"/>
          <w:sz w:val="17"/>
        </w:rPr>
        <w:t># Validate agent access before execution</w:t>
        <w:br/>
      </w:r>
      <w:r>
        <w:rPr>
          <w:rFonts w:ascii="Courier New" w:hAnsi="Courier New"/>
          <w:sz w:val="17"/>
        </w:rPr>
        <w:t>is_allowed, reason = registry.validate_tool_access(</w:t>
        <w:br/>
      </w:r>
      <w:r>
        <w:rPr>
          <w:rFonts w:ascii="Courier New" w:hAnsi="Courier New"/>
          <w:sz w:val="17"/>
        </w:rPr>
        <w:t xml:space="preserve">    tool_id="database_query",</w:t>
        <w:br/>
      </w:r>
      <w:r>
        <w:rPr>
          <w:rFonts w:ascii="Courier New" w:hAnsi="Courier New"/>
          <w:sz w:val="17"/>
        </w:rPr>
        <w:t xml:space="preserve">    allowed_levels=["R", "M"],      # Agent's RMACD permissions</w:t>
        <w:br/>
      </w:r>
      <w:r>
        <w:rPr>
          <w:rFonts w:ascii="Courier New" w:hAnsi="Courier New"/>
          <w:sz w:val="17"/>
        </w:rPr>
        <w:t xml:space="preserve">    data_tier="confidential"         # Agent's data access tier</w:t>
        <w:br/>
      </w:r>
      <w:r>
        <w:rPr>
          <w:rFonts w:ascii="Courier New" w:hAnsi="Courier New"/>
          <w:sz w:val="17"/>
        </w:rPr>
        <w:t>)</w:t>
        <w:br/>
      </w:r>
      <w:r>
        <w:rPr>
          <w:rFonts w:ascii="Courier New" w:hAnsi="Courier New"/>
          <w:sz w:val="17"/>
        </w:rPr>
        <w:br/>
      </w:r>
      <w:r>
        <w:rPr>
          <w:rFonts w:ascii="Courier New" w:hAnsi="Courier New"/>
          <w:sz w:val="17"/>
        </w:rPr>
        <w:t>if is_allowed:</w:t>
        <w:br/>
      </w:r>
      <w:r>
        <w:rPr>
          <w:rFonts w:ascii="Courier New" w:hAnsi="Courier New"/>
          <w:sz w:val="17"/>
        </w:rPr>
        <w:t xml:space="preserve">    # Execute the tool</w:t>
        <w:br/>
      </w:r>
      <w:r>
        <w:rPr>
          <w:rFonts w:ascii="Courier New" w:hAnsi="Courier New"/>
          <w:sz w:val="17"/>
        </w:rPr>
        <w:t xml:space="preserve">    pass</w:t>
        <w:br/>
      </w:r>
      <w:r>
        <w:rPr>
          <w:rFonts w:ascii="Courier New" w:hAnsi="Courier New"/>
          <w:sz w:val="17"/>
        </w:rPr>
        <w:t>else:</w:t>
        <w:br/>
      </w:r>
      <w:r>
        <w:rPr>
          <w:rFonts w:ascii="Courier New" w:hAnsi="Courier New"/>
          <w:sz w:val="17"/>
        </w:rPr>
        <w:t xml:space="preserve">    # Deny access, log violation</w:t>
        <w:br/>
      </w:r>
      <w:r>
        <w:rPr>
          <w:rFonts w:ascii="Courier New" w:hAnsi="Courier New"/>
          <w:sz w:val="17"/>
        </w:rPr>
        <w:t xml:space="preserve">    print(f"Access denied: {reason}")</w:t>
      </w:r>
    </w:p>
    <w:p>
      <w:pPr>
        <w:pStyle w:val="Heading3"/>
      </w:pPr>
      <w:r>
        <w:t>Workflow Risk Assessment</w:t>
      </w:r>
    </w:p>
    <w:p>
      <w:r>
        <w:t>The registry can analyze multi-tool workflows to identify risk concentrations:</w:t>
      </w:r>
    </w:p>
    <w:p>
      <w:pPr>
        <w:spacing w:after="160"/>
        <w:ind w:left="360"/>
      </w:pPr>
      <w:r>
        <w:rPr>
          <w:rFonts w:ascii="Courier New" w:hAnsi="Courier New"/>
          <w:sz w:val="17"/>
        </w:rPr>
        <w:t># Define a deployment workflow</w:t>
        <w:br/>
      </w:r>
      <w:r>
        <w:rPr>
          <w:rFonts w:ascii="Courier New" w:hAnsi="Courier New"/>
          <w:sz w:val="17"/>
        </w:rPr>
        <w:t>workflow_tools = ["github_commit", "kubernetes_deploy", "slack_notify"]</w:t>
        <w:br/>
      </w:r>
      <w:r>
        <w:rPr>
          <w:rFonts w:ascii="Courier New" w:hAnsi="Courier New"/>
          <w:sz w:val="17"/>
        </w:rPr>
        <w:br/>
      </w:r>
      <w:r>
        <w:rPr>
          <w:rFonts w:ascii="Courier New" w:hAnsi="Courier New"/>
          <w:sz w:val="17"/>
        </w:rPr>
        <w:t># Calculate aggregate risk</w:t>
        <w:br/>
      </w:r>
      <w:r>
        <w:rPr>
          <w:rFonts w:ascii="Courier New" w:hAnsi="Courier New"/>
          <w:sz w:val="17"/>
        </w:rPr>
        <w:t>risk_analysis = registry.calculate_workflow_risk(workflow_tools)</w:t>
        <w:br/>
      </w:r>
      <w:r>
        <w:rPr>
          <w:rFonts w:ascii="Courier New" w:hAnsi="Courier New"/>
          <w:sz w:val="17"/>
        </w:rPr>
        <w:br/>
      </w:r>
      <w:r>
        <w:rPr>
          <w:rFonts w:ascii="Courier New" w:hAnsi="Courier New"/>
          <w:sz w:val="17"/>
        </w:rPr>
        <w:t>print(f"Total Risk: {risk_analysis['total_risk']}/10")</w:t>
        <w:br/>
      </w:r>
      <w:r>
        <w:rPr>
          <w:rFonts w:ascii="Courier New" w:hAnsi="Courier New"/>
          <w:sz w:val="17"/>
        </w:rPr>
        <w:t>print(f"Highest RMACD Level: {risk_analysis['highest_rmacd']}")</w:t>
        <w:br/>
      </w:r>
      <w:r>
        <w:rPr>
          <w:rFonts w:ascii="Courier New" w:hAnsi="Courier New"/>
          <w:sz w:val="17"/>
        </w:rPr>
        <w:t>print(f"Highest Risk Tool: {risk_analysis['highest_risk_tool']}")</w:t>
      </w:r>
    </w:p>
    <w:p>
      <w:pPr>
        <w:pStyle w:val="Heading3"/>
      </w:pPr>
      <w:r>
        <w:t>Pre-Configured Tool Catalog</w:t>
      </w:r>
    </w:p>
    <w:p>
      <w:r>
        <w:t>The implementation includes 27 pre-configured tools across all RMACD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RMACD Level</w:t>
            </w:r>
          </w:p>
        </w:tc>
        <w:tc>
          <w:tcPr>
            <w:tcW w:type="dxa" w:w="3216"/>
          </w:tcPr>
          <w:p>
            <w:r>
              <w:rPr>
                <w:b/>
                <w:sz w:val="19"/>
              </w:rPr>
            </w:r>
            <w:r>
              <w:rPr>
                <w:b/>
                <w:sz w:val="19"/>
              </w:rPr>
              <w:t>Example Tools</w:t>
            </w:r>
          </w:p>
        </w:tc>
        <w:tc>
          <w:tcPr>
            <w:tcW w:type="dxa" w:w="3216"/>
          </w:tcPr>
          <w:p>
            <w:r>
              <w:rPr>
                <w:b/>
                <w:sz w:val="19"/>
              </w:rPr>
            </w:r>
            <w:r>
              <w:rPr>
                <w:b/>
                <w:sz w:val="19"/>
              </w:rPr>
              <w:t>Count</w:t>
            </w:r>
          </w:p>
        </w:tc>
      </w:tr>
      <w:tr>
        <w:tc>
          <w:tcPr>
            <w:tcW w:type="dxa" w:w="3216"/>
          </w:tcPr>
          <w:p>
            <w:r>
              <w:rPr>
                <w:sz w:val="19"/>
              </w:rPr>
            </w:r>
            <w:r>
              <w:rPr>
                <w:sz w:val="19"/>
              </w:rPr>
              <w:t>Read</w:t>
            </w:r>
          </w:p>
        </w:tc>
        <w:tc>
          <w:tcPr>
            <w:tcW w:type="dxa" w:w="3216"/>
          </w:tcPr>
          <w:p>
            <w:r>
              <w:rPr>
                <w:sz w:val="19"/>
              </w:rPr>
            </w:r>
            <w:r>
              <w:rPr>
                <w:sz w:val="19"/>
              </w:rPr>
              <w:t>web_search, database_query, metrics_monitor</w:t>
            </w:r>
          </w:p>
        </w:tc>
        <w:tc>
          <w:tcPr>
            <w:tcW w:type="dxa" w:w="3216"/>
          </w:tcPr>
          <w:p>
            <w:r>
              <w:rPr>
                <w:sz w:val="19"/>
              </w:rPr>
            </w:r>
            <w:r>
              <w:rPr>
                <w:sz w:val="19"/>
              </w:rPr>
              <w:t>5</w:t>
            </w:r>
          </w:p>
        </w:tc>
      </w:tr>
      <w:tr>
        <w:tc>
          <w:tcPr>
            <w:tcW w:type="dxa" w:w="3216"/>
          </w:tcPr>
          <w:p>
            <w:r>
              <w:rPr>
                <w:sz w:val="19"/>
              </w:rPr>
            </w:r>
            <w:r>
              <w:rPr>
                <w:sz w:val="19"/>
              </w:rPr>
              <w:t>Move</w:t>
            </w:r>
          </w:p>
        </w:tc>
        <w:tc>
          <w:tcPr>
            <w:tcW w:type="dxa" w:w="3216"/>
          </w:tcPr>
          <w:p>
            <w:r>
              <w:rPr>
                <w:sz w:val="19"/>
              </w:rPr>
            </w:r>
            <w:r>
              <w:rPr>
                <w:sz w:val="19"/>
              </w:rPr>
              <w:t>file_move, github_transfer, container_relocate</w:t>
            </w:r>
          </w:p>
        </w:tc>
        <w:tc>
          <w:tcPr>
            <w:tcW w:type="dxa" w:w="3216"/>
          </w:tcPr>
          <w:p>
            <w:r>
              <w:rPr>
                <w:sz w:val="19"/>
              </w:rPr>
            </w:r>
            <w:r>
              <w:rPr>
                <w:sz w:val="19"/>
              </w:rPr>
              <w:t>4</w:t>
            </w:r>
          </w:p>
        </w:tc>
      </w:tr>
      <w:tr>
        <w:tc>
          <w:tcPr>
            <w:tcW w:type="dxa" w:w="3216"/>
          </w:tcPr>
          <w:p>
            <w:r>
              <w:rPr>
                <w:sz w:val="19"/>
              </w:rPr>
            </w:r>
            <w:r>
              <w:rPr>
                <w:sz w:val="19"/>
              </w:rPr>
              <w:t>Add</w:t>
            </w:r>
          </w:p>
        </w:tc>
        <w:tc>
          <w:tcPr>
            <w:tcW w:type="dxa" w:w="3216"/>
          </w:tcPr>
          <w:p>
            <w:r>
              <w:rPr>
                <w:sz w:val="19"/>
              </w:rPr>
            </w:r>
            <w:r>
              <w:rPr>
                <w:sz w:val="19"/>
              </w:rPr>
              <w:t>file_create, kubernetes_deploy, slack_post</w:t>
            </w:r>
          </w:p>
        </w:tc>
        <w:tc>
          <w:tcPr>
            <w:tcW w:type="dxa" w:w="3216"/>
          </w:tcPr>
          <w:p>
            <w:r>
              <w:rPr>
                <w:sz w:val="19"/>
              </w:rPr>
            </w:r>
            <w:r>
              <w:rPr>
                <w:sz w:val="19"/>
              </w:rPr>
              <w:t>6</w:t>
            </w:r>
          </w:p>
        </w:tc>
      </w:tr>
      <w:tr>
        <w:tc>
          <w:tcPr>
            <w:tcW w:type="dxa" w:w="3216"/>
          </w:tcPr>
          <w:p>
            <w:r>
              <w:rPr>
                <w:sz w:val="19"/>
              </w:rPr>
            </w:r>
            <w:r>
              <w:rPr>
                <w:sz w:val="19"/>
              </w:rPr>
              <w:t>Change</w:t>
            </w:r>
          </w:p>
        </w:tc>
        <w:tc>
          <w:tcPr>
            <w:tcW w:type="dxa" w:w="3216"/>
          </w:tcPr>
          <w:p>
            <w:r>
              <w:rPr>
                <w:sz w:val="19"/>
              </w:rPr>
            </w:r>
            <w:r>
              <w:rPr>
                <w:sz w:val="19"/>
              </w:rPr>
              <w:t>file_edit, github_commit, config_update</w:t>
            </w:r>
          </w:p>
        </w:tc>
        <w:tc>
          <w:tcPr>
            <w:tcW w:type="dxa" w:w="3216"/>
          </w:tcPr>
          <w:p>
            <w:r>
              <w:rPr>
                <w:sz w:val="19"/>
              </w:rPr>
            </w:r>
            <w:r>
              <w:rPr>
                <w:sz w:val="19"/>
              </w:rPr>
              <w:t>6</w:t>
            </w:r>
          </w:p>
        </w:tc>
      </w:tr>
      <w:tr>
        <w:tc>
          <w:tcPr>
            <w:tcW w:type="dxa" w:w="3216"/>
          </w:tcPr>
          <w:p>
            <w:r>
              <w:rPr>
                <w:sz w:val="19"/>
              </w:rPr>
            </w:r>
            <w:r>
              <w:rPr>
                <w:sz w:val="19"/>
              </w:rPr>
              <w:t>Delete</w:t>
            </w:r>
          </w:p>
        </w:tc>
        <w:tc>
          <w:tcPr>
            <w:tcW w:type="dxa" w:w="3216"/>
          </w:tcPr>
          <w:p>
            <w:r>
              <w:rPr>
                <w:sz w:val="19"/>
              </w:rPr>
            </w:r>
            <w:r>
              <w:rPr>
                <w:sz w:val="19"/>
              </w:rPr>
              <w:t>file_delete, database_delete, s3_bucket_delete</w:t>
            </w:r>
          </w:p>
        </w:tc>
        <w:tc>
          <w:tcPr>
            <w:tcW w:type="dxa" w:w="3216"/>
          </w:tcPr>
          <w:p>
            <w:r>
              <w:rPr>
                <w:sz w:val="19"/>
              </w:rPr>
            </w:r>
            <w:r>
              <w:rPr>
                <w:sz w:val="19"/>
              </w:rPr>
              <w:t>6</w:t>
            </w:r>
          </w:p>
        </w:tc>
      </w:tr>
    </w:tbl>
    <w:p/>
    <w:p>
      <w:pPr>
        <w:pStyle w:val="Heading3"/>
      </w:pPr>
      <w:r>
        <w:t>Standard Permission Profiles</w:t>
      </w:r>
    </w:p>
    <w:p>
      <w:r>
        <w:t>Five standard permission profiles map to common agent roles: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Profile</w:t>
            </w:r>
          </w:p>
        </w:tc>
        <w:tc>
          <w:tcPr>
            <w:tcW w:type="dxa" w:w="3216"/>
          </w:tcPr>
          <w:p>
            <w:r>
              <w:rPr>
                <w:b/>
                <w:sz w:val="19"/>
              </w:rPr>
            </w:r>
            <w:r>
              <w:rPr>
                <w:b/>
                <w:sz w:val="19"/>
              </w:rPr>
              <w:t>Permissions</w:t>
            </w:r>
          </w:p>
        </w:tc>
        <w:tc>
          <w:tcPr>
            <w:tcW w:type="dxa" w:w="3216"/>
          </w:tcPr>
          <w:p>
            <w:r>
              <w:rPr>
                <w:b/>
                <w:sz w:val="19"/>
              </w:rPr>
            </w:r>
            <w:r>
              <w:rPr>
                <w:b/>
                <w:sz w:val="19"/>
              </w:rPr>
              <w:t>Use Cases</w:t>
            </w:r>
          </w:p>
        </w:tc>
      </w:tr>
      <w:tr>
        <w:tc>
          <w:tcPr>
            <w:tcW w:type="dxa" w:w="3216"/>
          </w:tcPr>
          <w:p>
            <w:r>
              <w:rPr>
                <w:sz w:val="19"/>
              </w:rPr>
            </w:r>
            <w:r>
              <w:rPr>
                <w:sz w:val="19"/>
              </w:rPr>
              <w:t>Observer</w:t>
            </w:r>
          </w:p>
        </w:tc>
        <w:tc>
          <w:tcPr>
            <w:tcW w:type="dxa" w:w="3216"/>
          </w:tcPr>
          <w:p>
            <w:r>
              <w:rPr>
                <w:sz w:val="19"/>
              </w:rPr>
            </w:r>
            <w:r>
              <w:rPr>
                <w:sz w:val="19"/>
              </w:rPr>
              <w:t>R</w:t>
            </w:r>
          </w:p>
        </w:tc>
        <w:tc>
          <w:tcPr>
            <w:tcW w:type="dxa" w:w="3216"/>
          </w:tcPr>
          <w:p>
            <w:r>
              <w:rPr>
                <w:sz w:val="19"/>
              </w:rPr>
            </w:r>
            <w:r>
              <w:rPr>
                <w:sz w:val="19"/>
              </w:rPr>
              <w:t>Monitoring, reporting, analytics</w:t>
            </w:r>
          </w:p>
        </w:tc>
      </w:tr>
      <w:tr>
        <w:tc>
          <w:tcPr>
            <w:tcW w:type="dxa" w:w="3216"/>
          </w:tcPr>
          <w:p>
            <w:r>
              <w:rPr>
                <w:sz w:val="19"/>
              </w:rPr>
            </w:r>
            <w:r>
              <w:rPr>
                <w:sz w:val="19"/>
              </w:rPr>
              <w:t>Coordinator</w:t>
            </w:r>
          </w:p>
        </w:tc>
        <w:tc>
          <w:tcPr>
            <w:tcW w:type="dxa" w:w="3216"/>
          </w:tcPr>
          <w:p>
            <w:r>
              <w:rPr>
                <w:sz w:val="19"/>
              </w:rPr>
            </w:r>
            <w:r>
              <w:rPr>
                <w:sz w:val="19"/>
              </w:rPr>
              <w:t>R, M</w:t>
            </w:r>
          </w:p>
        </w:tc>
        <w:tc>
          <w:tcPr>
            <w:tcW w:type="dxa" w:w="3216"/>
          </w:tcPr>
          <w:p>
            <w:r>
              <w:rPr>
                <w:sz w:val="19"/>
              </w:rPr>
            </w:r>
            <w:r>
              <w:rPr>
                <w:sz w:val="19"/>
              </w:rPr>
              <w:t>File organization, data migration</w:t>
            </w:r>
          </w:p>
        </w:tc>
      </w:tr>
      <w:tr>
        <w:tc>
          <w:tcPr>
            <w:tcW w:type="dxa" w:w="3216"/>
          </w:tcPr>
          <w:p>
            <w:r>
              <w:rPr>
                <w:sz w:val="19"/>
              </w:rPr>
            </w:r>
            <w:r>
              <w:rPr>
                <w:sz w:val="19"/>
              </w:rPr>
              <w:t>Contributor</w:t>
            </w:r>
          </w:p>
        </w:tc>
        <w:tc>
          <w:tcPr>
            <w:tcW w:type="dxa" w:w="3216"/>
          </w:tcPr>
          <w:p>
            <w:r>
              <w:rPr>
                <w:sz w:val="19"/>
              </w:rPr>
            </w:r>
            <w:r>
              <w:rPr>
                <w:sz w:val="19"/>
              </w:rPr>
              <w:t>R, M, A</w:t>
            </w:r>
          </w:p>
        </w:tc>
        <w:tc>
          <w:tcPr>
            <w:tcW w:type="dxa" w:w="3216"/>
          </w:tcPr>
          <w:p>
            <w:r>
              <w:rPr>
                <w:sz w:val="19"/>
              </w:rPr>
            </w:r>
            <w:r>
              <w:rPr>
                <w:sz w:val="19"/>
              </w:rPr>
              <w:t>Content creation, resource provisioning</w:t>
            </w:r>
          </w:p>
        </w:tc>
      </w:tr>
      <w:tr>
        <w:tc>
          <w:tcPr>
            <w:tcW w:type="dxa" w:w="3216"/>
          </w:tcPr>
          <w:p>
            <w:r>
              <w:rPr>
                <w:sz w:val="19"/>
              </w:rPr>
            </w:r>
            <w:r>
              <w:rPr>
                <w:sz w:val="19"/>
              </w:rPr>
              <w:t>Developer</w:t>
            </w:r>
          </w:p>
        </w:tc>
        <w:tc>
          <w:tcPr>
            <w:tcW w:type="dxa" w:w="3216"/>
          </w:tcPr>
          <w:p>
            <w:r>
              <w:rPr>
                <w:sz w:val="19"/>
              </w:rPr>
            </w:r>
            <w:r>
              <w:rPr>
                <w:sz w:val="19"/>
              </w:rPr>
              <w:t>R, M, A, C</w:t>
            </w:r>
          </w:p>
        </w:tc>
        <w:tc>
          <w:tcPr>
            <w:tcW w:type="dxa" w:w="3216"/>
          </w:tcPr>
          <w:p>
            <w:r>
              <w:rPr>
                <w:sz w:val="19"/>
              </w:rPr>
            </w:r>
            <w:r>
              <w:rPr>
                <w:sz w:val="19"/>
              </w:rPr>
              <w:t>Development, configuration management</w:t>
            </w:r>
          </w:p>
        </w:tc>
      </w:tr>
      <w:tr>
        <w:tc>
          <w:tcPr>
            <w:tcW w:type="dxa" w:w="3216"/>
          </w:tcPr>
          <w:p>
            <w:r>
              <w:rPr>
                <w:sz w:val="19"/>
              </w:rPr>
            </w:r>
            <w:r>
              <w:rPr>
                <w:sz w:val="19"/>
              </w:rPr>
              <w:t>Administrator</w:t>
            </w:r>
          </w:p>
        </w:tc>
        <w:tc>
          <w:tcPr>
            <w:tcW w:type="dxa" w:w="3216"/>
          </w:tcPr>
          <w:p>
            <w:r>
              <w:rPr>
                <w:sz w:val="19"/>
              </w:rPr>
            </w:r>
            <w:r>
              <w:rPr>
                <w:sz w:val="19"/>
              </w:rPr>
              <w:t>R, M, A, C, D</w:t>
            </w:r>
          </w:p>
        </w:tc>
        <w:tc>
          <w:tcPr>
            <w:tcW w:type="dxa" w:w="3216"/>
          </w:tcPr>
          <w:p>
            <w:r>
              <w:rPr>
                <w:sz w:val="19"/>
              </w:rPr>
            </w:r>
            <w:r>
              <w:rPr>
                <w:sz w:val="19"/>
              </w:rPr>
              <w:t>System administration, data cleanup</w:t>
            </w:r>
          </w:p>
        </w:tc>
      </w:tr>
    </w:tbl>
    <w:p/>
    <w:p>
      <w:pPr>
        <w:pStyle w:val="Heading3"/>
      </w:pPr>
      <w:r>
        <w:t>Enforcement bridge</w:t>
      </w:r>
    </w:p>
    <w:p>
      <w:r>
        <w:t>Bind a tool to the enforcement layer by registering it with a classifier and a</w:t>
      </w:r>
    </w:p>
    <w:p>
      <w:r>
        <w:t xml:space="preserve">capability ceiling, then gating every call through </w:t>
      </w:r>
      <w:r>
        <w:rPr>
          <w:rFonts w:ascii="Courier New" w:hAnsi="Courier New"/>
          <w:sz w:val="19"/>
        </w:rPr>
        <w:t>enforce_tool_call</w:t>
      </w:r>
      <w:r>
        <w:t>:</w:t>
      </w:r>
    </w:p>
    <w:p>
      <w:pPr>
        <w:spacing w:after="160"/>
        <w:ind w:left="360"/>
      </w:pPr>
      <w:r>
        <w:rPr>
          <w:rFonts w:ascii="Courier New" w:hAnsi="Courier New"/>
          <w:sz w:val="17"/>
        </w:rPr>
        <w:t>from rmacd import PolicyEnforcer, ProfileLoader</w:t>
        <w:br/>
      </w:r>
      <w:r>
        <w:rPr>
          <w:rFonts w:ascii="Courier New" w:hAnsi="Courier New"/>
          <w:sz w:val="17"/>
        </w:rPr>
        <w:t>from rmacd.registry import ToolsRegistry, ToolDefinition, ToolCapability</w:t>
        <w:br/>
      </w:r>
      <w:r>
        <w:rPr>
          <w:rFonts w:ascii="Courier New" w:hAnsi="Courier New"/>
          <w:sz w:val="17"/>
        </w:rPr>
        <w:t>from rmacd.models import Operation</w:t>
        <w:br/>
      </w:r>
      <w:r>
        <w:rPr>
          <w:rFonts w:ascii="Courier New" w:hAnsi="Courier New"/>
          <w:sz w:val="17"/>
        </w:rPr>
        <w:br/>
      </w:r>
      <w:r>
        <w:rPr>
          <w:rFonts w:ascii="Courier New" w:hAnsi="Courier New"/>
          <w:sz w:val="17"/>
        </w:rPr>
        <w:t>registry = ToolsRegistry("my-organization")</w:t>
        <w:br/>
      </w:r>
      <w:r>
        <w:rPr>
          <w:rFonts w:ascii="Courier New" w:hAnsi="Courier New"/>
          <w:sz w:val="17"/>
        </w:rPr>
        <w:t>registry.register_tool(ToolDefinition(</w:t>
        <w:br/>
      </w:r>
      <w:r>
        <w:rPr>
          <w:rFonts w:ascii="Courier New" w:hAnsi="Courier New"/>
          <w:sz w:val="17"/>
        </w:rPr>
        <w:t xml:space="preserve">    "update_config", "Update Config", Operation.CHANGE,</w:t>
        <w:br/>
      </w:r>
      <w:r>
        <w:rPr>
          <w:rFonts w:ascii="Courier New" w:hAnsi="Courier New"/>
          <w:sz w:val="17"/>
        </w:rPr>
        <w:t xml:space="preserve">    classifier=lambda args: (</w:t>
        <w:br/>
      </w:r>
      <w:r>
        <w:rPr>
          <w:rFonts w:ascii="Courier New" w:hAnsi="Courier New"/>
          <w:sz w:val="17"/>
        </w:rPr>
        <w:t xml:space="preserve">        "C",</w:t>
        <w:br/>
      </w:r>
      <w:r>
        <w:rPr>
          <w:rFonts w:ascii="Courier New" w:hAnsi="Courier New"/>
          <w:sz w:val="17"/>
        </w:rPr>
        <w:t xml:space="preserve">        "confidential" if str(args.get("server_id", "")).startswith("prod-") else "internal",</w:t>
        <w:br/>
      </w:r>
      <w:r>
        <w:rPr>
          <w:rFonts w:ascii="Courier New" w:hAnsi="Courier New"/>
          <w:sz w:val="17"/>
        </w:rPr>
        <w:t xml:space="preserve">        f"server://{args.get('server_id')}",</w:t>
        <w:br/>
      </w:r>
      <w:r>
        <w:rPr>
          <w:rFonts w:ascii="Courier New" w:hAnsi="Courier New"/>
          <w:sz w:val="17"/>
        </w:rPr>
        <w:t xml:space="preserve">    ),</w:t>
        <w:br/>
      </w:r>
      <w:r>
        <w:rPr>
          <w:rFonts w:ascii="Courier New" w:hAnsi="Courier New"/>
          <w:sz w:val="17"/>
        </w:rPr>
        <w:t xml:space="preserve">    capability=ToolCapability(operations={Operation.CHANGE}),  # may never delete</w:t>
        <w:br/>
      </w:r>
      <w:r>
        <w:rPr>
          <w:rFonts w:ascii="Courier New" w:hAnsi="Courier New"/>
          <w:sz w:val="17"/>
        </w:rPr>
        <w:t>))</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profile=ProfileLoader().load_file("profiles/agent.json"),</w:t>
        <w:br/>
      </w:r>
      <w:r>
        <w:rPr>
          <w:rFonts w:ascii="Courier New" w:hAnsi="Courier New"/>
          <w:sz w:val="17"/>
        </w:rPr>
        <w:t xml:space="preserve">    agent_id="agent-1",</w:t>
        <w:br/>
      </w:r>
      <w:r>
        <w:rPr>
          <w:rFonts w:ascii="Courier New" w:hAnsi="Courier New"/>
          <w:sz w:val="17"/>
        </w:rPr>
        <w:t xml:space="preserve">    registry=registry,</w:t>
        <w:br/>
      </w:r>
      <w:r>
        <w:rPr>
          <w:rFonts w:ascii="Courier New" w:hAnsi="Courier New"/>
          <w:sz w:val="17"/>
        </w:rPr>
        <w:t>)</w:t>
        <w:br/>
      </w:r>
      <w:r>
        <w:rPr>
          <w:rFonts w:ascii="Courier New" w:hAnsi="Courier New"/>
          <w:sz w:val="17"/>
        </w:rPr>
        <w:t>enforcer.enforce_tool_call("update_config", {"server_id": "prod-db-01"})</w:t>
        <w:br/>
      </w:r>
      <w:r>
        <w:rPr>
          <w:rFonts w:ascii="Courier New" w:hAnsi="Courier New"/>
          <w:sz w:val="17"/>
        </w:rPr>
        <w:t># → classify → capability gate → profile gate (§12.5 floor) → allow / raise</w:t>
      </w:r>
    </w:p>
    <w:p>
      <w:pPr>
        <w:pStyle w:val="Heading3"/>
      </w:pPr>
      <w:r>
        <w:t>Integration Points</w:t>
      </w:r>
    </w:p>
    <w:p>
      <w:r>
        <w:t>The Tools Registry integrates with agent platforms through:</w:t>
      </w:r>
    </w:p>
    <w:p>
      <w:pPr>
        <w:pStyle w:val="ListBullet"/>
      </w:pPr>
      <w:r>
        <w:rPr>
          <w:b/>
        </w:rPr>
        <w:t>`PolicyEnforcer.enforce_tool_call`</w:t>
      </w:r>
      <w:r>
        <w:t xml:space="preserve"> — the single registry-backed gate for a</w:t>
      </w:r>
    </w:p>
    <w:p>
      <w:r>
        <w:t xml:space="preserve">framework's tool-call hook (Claude Agent SDK </w:t>
      </w:r>
      <w:r>
        <w:rPr>
          <w:rFonts w:ascii="Courier New" w:hAnsi="Courier New"/>
          <w:sz w:val="19"/>
        </w:rPr>
        <w:t>PreToolUse</w:t>
      </w:r>
      <w:r>
        <w:t>, OpenAI Agents SDK</w:t>
      </w:r>
    </w:p>
    <w:p>
      <w:r>
        <w:t xml:space="preserve">tool guardrail / </w:t>
      </w:r>
      <w:r>
        <w:rPr>
          <w:rFonts w:ascii="Courier New" w:hAnsi="Courier New"/>
          <w:sz w:val="19"/>
        </w:rPr>
        <w:t>needs_approval</w:t>
      </w:r>
      <w:r>
        <w:t>, Microsoft Agent Framework</w:t>
      </w:r>
    </w:p>
    <w:p>
      <w:r>
        <w:rPr>
          <w:rFonts w:ascii="Courier New" w:hAnsi="Courier New"/>
          <w:sz w:val="19"/>
        </w:rPr>
        <w:t>FunctionMiddleware</w:t>
      </w:r>
      <w:r>
        <w:t xml:space="preserve">); see </w:t>
      </w:r>
      <w:r>
        <w:rPr>
          <w:rFonts w:ascii="Courier New" w:hAnsi="Courier New"/>
          <w:sz w:val="19"/>
        </w:rPr>
        <w:t>docs/framework-adapters.md</w:t>
      </w:r>
      <w:r>
        <w:t>.</w:t>
      </w:r>
    </w:p>
    <w:p>
      <w:pPr>
        <w:pStyle w:val="ListBullet"/>
      </w:pPr>
      <w:r>
        <w:rPr>
          <w:b/>
        </w:rPr>
        <w:t>JSON Export/Import</w:t>
      </w:r>
      <w:r>
        <w:t xml:space="preserve"> — Exchange tool catalogs between systems</w:t>
      </w:r>
    </w:p>
    <w:p>
      <w:pPr>
        <w:pStyle w:val="ListBullet"/>
      </w:pPr>
      <w:r>
        <w:rPr>
          <w:b/>
        </w:rPr>
        <w:t>MCP Bridge</w:t>
      </w:r>
      <w:r>
        <w:t xml:space="preserve"> (</w:t>
      </w:r>
      <w:r>
        <w:rPr>
          <w:rFonts w:ascii="Courier New" w:hAnsi="Courier New"/>
          <w:sz w:val="19"/>
        </w:rPr>
        <w:t>MCPRegistryBridge</w:t>
      </w:r>
      <w:r>
        <w:t>) — Auto-classify an MCP server's</w:t>
      </w:r>
    </w:p>
    <w:p>
      <w:r>
        <w:rPr>
          <w:rFonts w:ascii="Courier New" w:hAnsi="Courier New"/>
          <w:sz w:val="19"/>
        </w:rPr>
        <w:t>tools/list</w:t>
      </w:r>
      <w:r>
        <w:t xml:space="preserve"> response (raw dicts accepted, bulk registration supported) into</w:t>
      </w:r>
    </w:p>
    <w:p>
      <w:r>
        <w:t>the same registry the enforcer consults. Two classification engines: a</w:t>
      </w:r>
    </w:p>
    <w:p>
      <w:r>
        <w:t>deterministic keyword heuristic, and an optional Claude-backed</w:t>
      </w:r>
    </w:p>
    <w:p>
      <w:r>
        <w:rPr>
          <w:rFonts w:ascii="Courier New" w:hAnsi="Courier New"/>
          <w:sz w:val="19"/>
        </w:rPr>
        <w:t>LLMToolClassifier</w:t>
      </w:r>
      <w:r>
        <w:t xml:space="preserve"> (</w:t>
      </w:r>
      <w:r>
        <w:rPr>
          <w:rFonts w:ascii="Courier New" w:hAnsi="Courier New"/>
          <w:sz w:val="19"/>
        </w:rPr>
        <w:t>pip install rmacd-framework[llm]</w:t>
      </w:r>
      <w:r>
        <w:t xml:space="preserve">) used in </w:t>
      </w:r>
      <w:r>
        <w:rPr>
          <w:rFonts w:ascii="Courier New" w:hAnsi="Courier New"/>
          <w:sz w:val="19"/>
        </w:rPr>
        <w:t>fallback</w:t>
      </w:r>
    </w:p>
    <w:p>
      <w:r>
        <w:t xml:space="preserve">mode (only for tools the keywords cannot classify confidently) or </w:t>
      </w:r>
      <w:r>
        <w:rPr>
          <w:rFonts w:ascii="Courier New" w:hAnsi="Courier New"/>
          <w:sz w:val="19"/>
        </w:rPr>
        <w:t>always</w:t>
      </w:r>
    </w:p>
    <w:p>
      <w:r>
        <w:t>mode. LLM failures degrade to the keyword result — registration is never</w:t>
      </w:r>
    </w:p>
    <w:p>
      <w:r>
        <w:t>blocked. Every auto-classified tool carries a capability ceiling at its</w:t>
      </w:r>
    </w:p>
    <w:p>
      <w:r>
        <w:t xml:space="preserve">inferred operation and provenance in </w:t>
      </w:r>
      <w:r>
        <w:rPr>
          <w:rFonts w:ascii="Courier New" w:hAnsi="Courier New"/>
          <w:sz w:val="19"/>
        </w:rPr>
        <w:t>metadata["classification"]</w:t>
      </w:r>
      <w:r>
        <w:t>;</w:t>
      </w:r>
    </w:p>
    <w:p>
      <w:r>
        <w:rPr>
          <w:rFonts w:ascii="Courier New" w:hAnsi="Courier New"/>
          <w:sz w:val="19"/>
        </w:rPr>
        <w:t>low_confidence_tools()</w:t>
      </w:r>
      <w:r>
        <w:t xml:space="preserve"> surfaces the human-review queue.</w:t>
      </w:r>
    </w:p>
    <w:p>
      <w:pPr>
        <w:pStyle w:val="ListBullet"/>
      </w:pPr>
      <w:r>
        <w:rPr>
          <w:b/>
        </w:rPr>
        <w:t>Bash command classifier</w:t>
      </w:r>
      <w:r>
        <w:t xml:space="preserve"> (</w:t>
      </w:r>
      <w:r>
        <w:rPr>
          <w:rFonts w:ascii="Courier New" w:hAnsi="Courier New"/>
          <w:sz w:val="19"/>
        </w:rPr>
        <w:t>classify_bash_command</w:t>
      </w:r>
      <w:r>
        <w:t xml:space="preserve"> / </w:t>
      </w:r>
      <w:r>
        <w:rPr>
          <w:rFonts w:ascii="Courier New" w:hAnsi="Courier New"/>
          <w:sz w:val="19"/>
        </w:rPr>
        <w:t>make_bash_classifier</w:t>
      </w:r>
      <w:r>
        <w:t>)</w:t>
      </w:r>
    </w:p>
    <w:p>
      <w:r>
        <w:t xml:space="preserve">— for the opaque </w:t>
      </w:r>
      <w:r>
        <w:rPr>
          <w:rFonts w:ascii="Courier New" w:hAnsi="Courier New"/>
          <w:sz w:val="19"/>
        </w:rPr>
        <w:t>bash</w:t>
      </w:r>
      <w:r>
        <w:t xml:space="preserve"> tool, parse a shell command into the maximum RMACD</w:t>
      </w:r>
    </w:p>
    <w:p>
      <w:r>
        <w:t xml:space="preserve">operation (honouring switch-level distinctions such as </w:t>
      </w:r>
      <w:r>
        <w:rPr>
          <w:rFonts w:ascii="Courier New" w:hAnsi="Courier New"/>
          <w:sz w:val="19"/>
        </w:rPr>
        <w:t>sed -n</w:t>
      </w:r>
      <w:r>
        <w:t xml:space="preserve"> vs </w:t>
      </w:r>
      <w:r>
        <w:rPr>
          <w:rFonts w:ascii="Courier New" w:hAnsi="Courier New"/>
          <w:sz w:val="19"/>
        </w:rPr>
        <w:t>sed -i</w:t>
      </w:r>
      <w:r>
        <w:t>,</w:t>
      </w:r>
    </w:p>
    <w:p>
      <w:r>
        <w:rPr>
          <w:rFonts w:ascii="Courier New" w:hAnsi="Courier New"/>
          <w:sz w:val="19"/>
        </w:rPr>
        <w:t>nslookup</w:t>
      </w:r>
      <w:r>
        <w:t xml:space="preserve"> vs </w:t>
      </w:r>
      <w:r>
        <w:rPr>
          <w:rFonts w:ascii="Courier New" w:hAnsi="Courier New"/>
          <w:sz w:val="19"/>
        </w:rPr>
        <w:t>nsupdate</w:t>
      </w:r>
      <w:r>
        <w:t xml:space="preserve">, </w:t>
      </w:r>
      <w:r>
        <w:rPr>
          <w:rFonts w:ascii="Courier New" w:hAnsi="Courier New"/>
          <w:sz w:val="19"/>
        </w:rPr>
        <w:t>&gt;</w:t>
      </w:r>
      <w:r>
        <w:t xml:space="preserve"> redirects, shell control keywords so</w:t>
      </w:r>
    </w:p>
    <w:p>
      <w:r>
        <w:rPr>
          <w:rFonts w:ascii="Courier New" w:hAnsi="Courier New"/>
          <w:sz w:val="19"/>
        </w:rPr>
        <w:t>for f in *; do rm "$f"; done</w:t>
      </w:r>
      <w:r>
        <w:t xml:space="preserve"> resolves to Delete, and process substitution),</w:t>
      </w:r>
    </w:p>
    <w:p>
      <w:r>
        <w:t>failing closed on unknown binaries. Operation-level; pair with a 2D profile</w:t>
      </w:r>
    </w:p>
    <w:p>
      <w:r>
        <w:t>or a path→tier resolver.</w:t>
      </w:r>
    </w:p>
    <w:p>
      <w:pPr>
        <w:pStyle w:val="Heading3"/>
      </w:pPr>
      <w:r>
        <w:t>Module Location</w:t>
      </w:r>
    </w:p>
    <w:p>
      <w:r>
        <w:t xml:space="preserve">The implementation lives in the SDK at </w:t>
      </w:r>
      <w:r>
        <w:rPr>
          <w:rFonts w:ascii="Courier New" w:hAnsi="Courier New"/>
          <w:sz w:val="19"/>
        </w:rPr>
        <w:t>sdk/python/rmacd/registry/</w:t>
      </w:r>
    </w:p>
    <w:p>
      <w:r>
        <w:t>(</w:t>
      </w:r>
      <w:r>
        <w:rPr>
          <w:rFonts w:ascii="Courier New" w:hAnsi="Courier New"/>
          <w:sz w:val="19"/>
        </w:rPr>
        <w:t>tools.py</w:t>
      </w:r>
      <w:r>
        <w:t xml:space="preserve">, </w:t>
      </w:r>
      <w:r>
        <w:rPr>
          <w:rFonts w:ascii="Courier New" w:hAnsi="Courier New"/>
          <w:sz w:val="19"/>
        </w:rPr>
        <w:t>mcp.py</w:t>
      </w:r>
      <w:r>
        <w:t xml:space="preserve">, </w:t>
      </w:r>
      <w:r>
        <w:rPr>
          <w:rFonts w:ascii="Courier New" w:hAnsi="Courier New"/>
          <w:sz w:val="19"/>
        </w:rPr>
        <w:t>bash.py</w:t>
      </w:r>
      <w:r>
        <w:t xml:space="preserve">, </w:t>
      </w:r>
      <w:r>
        <w:rPr>
          <w:rFonts w:ascii="Courier New" w:hAnsi="Courier New"/>
          <w:sz w:val="19"/>
        </w:rPr>
        <w:t>llm.py</w:t>
      </w:r>
      <w:r>
        <w:t>). Import via</w:t>
      </w:r>
    </w:p>
    <w:p>
      <w:r>
        <w:rPr>
          <w:rFonts w:ascii="Courier New" w:hAnsi="Courier New"/>
          <w:sz w:val="19"/>
        </w:rPr>
        <w:t>from rmacd.registry import ...</w:t>
      </w:r>
      <w:r>
        <w:t xml:space="preserve">. The previously-standalone </w:t>
      </w:r>
      <w:r>
        <w:rPr>
          <w:rFonts w:ascii="Courier New" w:hAnsi="Courier New"/>
          <w:sz w:val="19"/>
        </w:rPr>
        <w:t>tools-registry/</w:t>
      </w:r>
    </w:p>
    <w:p>
      <w:r>
        <w:t xml:space="preserve">directory was removed in v1.4.0; its content is now </w:t>
      </w:r>
      <w:r>
        <w:rPr>
          <w:rFonts w:ascii="Courier New" w:hAnsi="Courier New"/>
          <w:sz w:val="19"/>
        </w:rPr>
        <w:t>rmacd.registry</w:t>
      </w:r>
      <w:r>
        <w:t>.</w:t>
      </w:r>
    </w:p>
    <w:p>
      <w:pPr>
        <w:pStyle w:val="Heading2"/>
      </w:pPr>
      <w:r>
        <w:t>9.5 Python SDK Enforcement Layer</w:t>
      </w:r>
    </w:p>
    <w:p>
      <w:r>
        <w:t xml:space="preserve">The </w:t>
      </w:r>
      <w:r>
        <w:rPr>
          <w:rFonts w:ascii="Courier New" w:hAnsi="Courier New"/>
          <w:sz w:val="19"/>
        </w:rPr>
        <w:t>rmacd-framework</w:t>
      </w:r>
      <w:r>
        <w:t xml:space="preserve"> Python package on PyPI ships the enforcement</w:t>
      </w:r>
    </w:p>
    <w:p>
      <w:r>
        <w:t>plumbing that turns a profile decision into an action: approval routing,</w:t>
      </w:r>
    </w:p>
    <w:p>
      <w:r>
        <w:t>audit emission, exception classification, and the DC2D data-flow</w:t>
      </w:r>
    </w:p>
    <w:p>
      <w:r>
        <w:t>controls. The package is the integration point every agent runtime</w:t>
      </w:r>
    </w:p>
    <w:p>
      <w:r>
        <w:t>(Claude Agent SDK, raw Anthropic SDK, LangChain, AutoGen, CrewAI) hits</w:t>
      </w:r>
    </w:p>
    <w:p>
      <w:r>
        <w:t>when wiring RMACD into a tool-call site.</w:t>
      </w:r>
    </w:p>
    <w:p>
      <w:pPr>
        <w:pStyle w:val="Heading3"/>
      </w:pPr>
      <w:r>
        <w:t>Core components</w:t>
      </w:r>
    </w:p>
    <w:p>
      <w:pPr>
        <w:pStyle w:val="ListBullet"/>
      </w:pPr>
      <w:r>
        <w:rPr>
          <w:b/>
        </w:rPr>
        <w:t>`PolicyEvaluator`</w:t>
      </w:r>
      <w:r>
        <w:t xml:space="preserve"> — pure decision function. Given a profile and an</w:t>
      </w:r>
    </w:p>
    <w:p>
      <w:r>
        <w:t xml:space="preserve">(operation, classification), returns a </w:t>
      </w:r>
      <w:r>
        <w:rPr>
          <w:rFonts w:ascii="Courier New" w:hAnsi="Courier New"/>
          <w:sz w:val="19"/>
        </w:rPr>
        <w:t>PolicyDecision</w:t>
      </w:r>
      <w:r>
        <w:t>. No side</w:t>
      </w:r>
    </w:p>
    <w:p>
      <w:r>
        <w:t>effects. Suitable for offline analysis, profile linters, and dry-run</w:t>
      </w:r>
    </w:p>
    <w:p>
      <w:r>
        <w:t>UX.</w:t>
      </w:r>
    </w:p>
    <w:p>
      <w:pPr>
        <w:pStyle w:val="ListBullet"/>
      </w:pPr>
      <w:r>
        <w:rPr>
          <w:b/>
        </w:rPr>
        <w:t>`PolicyEnforcer`</w:t>
      </w:r>
      <w:r>
        <w:t xml:space="preserve"> — decision + side effects on top of</w:t>
      </w:r>
    </w:p>
    <w:p>
      <w:r>
        <w:rPr>
          <w:rFonts w:ascii="Courier New" w:hAnsi="Courier New"/>
          <w:sz w:val="19"/>
        </w:rPr>
        <w:t>PolicyEvaluator</w:t>
      </w:r>
      <w:r>
        <w:t>. Routes approval-gated operations through an</w:t>
      </w:r>
    </w:p>
    <w:p>
      <w:r>
        <w:rPr>
          <w:rFonts w:ascii="Courier New" w:hAnsi="Courier New"/>
          <w:sz w:val="19"/>
        </w:rPr>
        <w:t>ApprovalGateway</w:t>
      </w:r>
      <w:r>
        <w:t xml:space="preserve">, emits </w:t>
      </w:r>
      <w:r>
        <w:rPr>
          <w:rFonts w:ascii="Courier New" w:hAnsi="Courier New"/>
          <w:sz w:val="19"/>
        </w:rPr>
        <w:t>AuditRecord</w:t>
      </w:r>
      <w:r>
        <w:t xml:space="preserve">s through an </w:t>
      </w:r>
      <w:r>
        <w:rPr>
          <w:rFonts w:ascii="Courier New" w:hAnsi="Courier New"/>
          <w:sz w:val="19"/>
        </w:rPr>
        <w:t>AuditLogger</w:t>
      </w:r>
      <w:r>
        <w:t>, and</w:t>
      </w:r>
    </w:p>
    <w:p>
      <w:r>
        <w:t xml:space="preserve">raises a typed subclass of </w:t>
      </w:r>
      <w:r>
        <w:rPr>
          <w:rFonts w:ascii="Courier New" w:hAnsi="Courier New"/>
          <w:sz w:val="19"/>
        </w:rPr>
        <w:t>RMACDPolicyError</w:t>
      </w:r>
      <w:r>
        <w:t xml:space="preserve"> on any non-allow path.</w:t>
      </w:r>
    </w:p>
    <w:p>
      <w:r>
        <w:t xml:space="preserve">Also exposes </w:t>
      </w:r>
      <w:r>
        <w:rPr>
          <w:rFonts w:ascii="Courier New" w:hAnsi="Courier New"/>
          <w:sz w:val="19"/>
        </w:rPr>
        <w:t>apply_redaction()</w:t>
      </w:r>
      <w:r>
        <w:t xml:space="preserve"> and </w:t>
      </w:r>
      <w:r>
        <w:rPr>
          <w:rFonts w:ascii="Courier New" w:hAnsi="Courier New"/>
          <w:sz w:val="19"/>
        </w:rPr>
        <w:t>check_egress()</w:t>
      </w:r>
      <w:r>
        <w:t xml:space="preserve"> for DC2D</w:t>
      </w:r>
    </w:p>
    <w:p>
      <w:r>
        <w:t xml:space="preserve">profiles. </w:t>
      </w:r>
      <w:r>
        <w:rPr>
          <w:rFonts w:ascii="Courier New" w:hAnsi="Courier New"/>
          <w:sz w:val="19"/>
        </w:rPr>
        <w:t>from_env()</w:t>
      </w:r>
      <w:r>
        <w:t xml:space="preserve"> constructs the enforcer from</w:t>
      </w:r>
    </w:p>
    <w:p>
      <w:r>
        <w:rPr>
          <w:rFonts w:ascii="Courier New" w:hAnsi="Courier New"/>
          <w:sz w:val="19"/>
        </w:rPr>
        <w:t>RMACD_PROFILE_PATH</w:t>
      </w:r>
      <w:r>
        <w:t xml:space="preserve"> and </w:t>
      </w:r>
      <w:r>
        <w:rPr>
          <w:rFonts w:ascii="Courier New" w:hAnsi="Courier New"/>
          <w:sz w:val="19"/>
        </w:rPr>
        <w:t>RMACD_AGENT_ID</w:t>
      </w:r>
      <w:r>
        <w:t xml:space="preserve"> for 12-factor deployments.</w:t>
      </w:r>
    </w:p>
    <w:p>
      <w:pPr>
        <w:pStyle w:val="ListBullet"/>
      </w:pPr>
      <w:r>
        <w:rPr>
          <w:b/>
        </w:rPr>
        <w:t>`ApprovalGateway` Protocol</w:t>
      </w:r>
      <w:r>
        <w:t xml:space="preserve"> — pluggable approval surface returning</w:t>
      </w:r>
    </w:p>
    <w:p>
      <w:r>
        <w:rPr>
          <w:rFonts w:ascii="Courier New" w:hAnsi="Courier New"/>
          <w:sz w:val="19"/>
        </w:rPr>
        <w:t>APPROVED</w:t>
      </w:r>
      <w:r>
        <w:t xml:space="preserve">, </w:t>
      </w:r>
      <w:r>
        <w:rPr>
          <w:rFonts w:ascii="Courier New" w:hAnsi="Courier New"/>
          <w:sz w:val="19"/>
        </w:rPr>
        <w:t>DENIED</w:t>
      </w:r>
      <w:r>
        <w:t xml:space="preserve">, or </w:t>
      </w:r>
      <w:r>
        <w:rPr>
          <w:rFonts w:ascii="Courier New" w:hAnsi="Courier New"/>
          <w:sz w:val="19"/>
        </w:rPr>
        <w:t>TIMEOUT</w:t>
      </w:r>
      <w:r>
        <w:t xml:space="preserve">. Ships </w:t>
      </w:r>
      <w:r>
        <w:rPr>
          <w:rFonts w:ascii="Courier New" w:hAnsi="Courier New"/>
          <w:sz w:val="19"/>
        </w:rPr>
        <w:t>RejectAllApprovalGateway</w:t>
      </w:r>
    </w:p>
    <w:p>
      <w:r>
        <w:t xml:space="preserve">(fail-closed default) and </w:t>
      </w:r>
      <w:r>
        <w:rPr>
          <w:rFonts w:ascii="Courier New" w:hAnsi="Courier New"/>
          <w:sz w:val="19"/>
        </w:rPr>
        <w:t>AutoApproveGateway</w:t>
      </w:r>
      <w:r>
        <w:t xml:space="preserve"> (deterministic</w:t>
      </w:r>
    </w:p>
    <w:p>
      <w:r>
        <w:t>scripted use). Production integrations implement against ServiceNow,</w:t>
      </w:r>
    </w:p>
    <w:p>
      <w:r>
        <w:t>Jira, Slack, PagerDuty, or webhooks.</w:t>
      </w:r>
    </w:p>
    <w:p>
      <w:pPr>
        <w:pStyle w:val="ListBullet"/>
      </w:pPr>
      <w:r>
        <w:rPr>
          <w:b/>
        </w:rPr>
        <w:t>`AuditLogger` Protocol</w:t>
      </w:r>
      <w:r>
        <w:t xml:space="preserve"> — pluggable audit sink. Ships</w:t>
      </w:r>
    </w:p>
    <w:p>
      <w:r>
        <w:rPr>
          <w:rFonts w:ascii="Courier New" w:hAnsi="Courier New"/>
          <w:sz w:val="19"/>
        </w:rPr>
        <w:t>JSONLAuditLogger</w:t>
      </w:r>
      <w:r>
        <w:t xml:space="preserve"> (file or stream) and </w:t>
      </w:r>
      <w:r>
        <w:rPr>
          <w:rFonts w:ascii="Courier New" w:hAnsi="Courier New"/>
          <w:sz w:val="19"/>
        </w:rPr>
        <w:t>NullAuditLogger</w:t>
      </w:r>
      <w:r>
        <w:t xml:space="preserve"> (default).</w:t>
      </w:r>
    </w:p>
    <w:p>
      <w:r>
        <w:rPr>
          <w:rFonts w:ascii="Courier New" w:hAnsi="Courier New"/>
          <w:sz w:val="19"/>
        </w:rPr>
        <w:t>AuditRecord</w:t>
      </w:r>
      <w:r>
        <w:t xml:space="preserve"> shape matches Appendix C.6.</w:t>
      </w:r>
    </w:p>
    <w:p>
      <w:pPr>
        <w:pStyle w:val="ListBullet"/>
      </w:pPr>
      <w:r>
        <w:rPr>
          <w:b/>
        </w:rPr>
        <w:t>`Redactor` Protocol</w:t>
      </w:r>
      <w:r>
        <w:t xml:space="preserve"> (DC2D) — output redaction for tiers in the</w:t>
      </w:r>
    </w:p>
    <w:p>
      <w:r>
        <w:t xml:space="preserve">profile's </w:t>
      </w:r>
      <w:r>
        <w:rPr>
          <w:rFonts w:ascii="Courier New" w:hAnsi="Courier New"/>
          <w:sz w:val="19"/>
        </w:rPr>
        <w:t>redact_tiers</w:t>
      </w:r>
      <w:r>
        <w:t xml:space="preserve">. Ships </w:t>
      </w:r>
      <w:r>
        <w:rPr>
          <w:rFonts w:ascii="Courier New" w:hAnsi="Courier New"/>
          <w:sz w:val="19"/>
        </w:rPr>
        <w:t>NullRedactor</w:t>
      </w:r>
      <w:r>
        <w:t xml:space="preserve"> and </w:t>
      </w:r>
      <w:r>
        <w:rPr>
          <w:rFonts w:ascii="Courier New" w:hAnsi="Courier New"/>
          <w:sz w:val="19"/>
        </w:rPr>
        <w:t>RegexRedactor</w:t>
      </w:r>
    </w:p>
    <w:p>
      <w:r>
        <w:t>(email, SSN, credit-card, US phone, IPv4; stable tokenization).</w:t>
      </w:r>
    </w:p>
    <w:p>
      <w:pPr>
        <w:pStyle w:val="ListBullet"/>
      </w:pPr>
      <w:r>
        <w:rPr>
          <w:b/>
        </w:rPr>
        <w:t>`EgressGate` Protocol</w:t>
      </w:r>
      <w:r>
        <w:t xml:space="preserve"> (DC2D) — destination check applied before</w:t>
      </w:r>
    </w:p>
    <w:p>
      <w:r>
        <w:t xml:space="preserve">classified data leaves the agent. Ships </w:t>
      </w:r>
      <w:r>
        <w:rPr>
          <w:rFonts w:ascii="Courier New" w:hAnsi="Courier New"/>
          <w:sz w:val="19"/>
        </w:rPr>
        <w:t>PolicyDrivenEgressGate</w:t>
      </w:r>
    </w:p>
    <w:p>
      <w:r>
        <w:t xml:space="preserve">(allowlist + </w:t>
      </w:r>
      <w:r>
        <w:rPr>
          <w:rFonts w:ascii="Courier New" w:hAnsi="Courier New"/>
          <w:sz w:val="19"/>
        </w:rPr>
        <w:t>block_external_models</w:t>
      </w:r>
      <w:r>
        <w:t xml:space="preserve"> rules).</w:t>
      </w:r>
    </w:p>
    <w:p>
      <w:pPr>
        <w:pStyle w:val="ListBullet"/>
      </w:pPr>
      <w:r>
        <w:rPr>
          <w:b/>
        </w:rPr>
        <w:t>`RMACDError` hierarchy</w:t>
      </w:r>
      <w:r>
        <w:t xml:space="preserve"> — typed exceptions for each non-allow</w:t>
      </w:r>
    </w:p>
    <w:p>
      <w:r>
        <w:t xml:space="preserve">outcome: </w:t>
      </w:r>
      <w:r>
        <w:rPr>
          <w:rFonts w:ascii="Courier New" w:hAnsi="Courier New"/>
          <w:sz w:val="19"/>
        </w:rPr>
        <w:t>RMACDPermissionDeniedError</w:t>
      </w:r>
      <w:r>
        <w:t xml:space="preserve">, </w:t>
      </w:r>
      <w:r>
        <w:rPr>
          <w:rFonts w:ascii="Courier New" w:hAnsi="Courier New"/>
          <w:sz w:val="19"/>
        </w:rPr>
        <w:t>RMACDProhibitedError</w:t>
      </w:r>
      <w:r>
        <w:t>,</w:t>
      </w:r>
    </w:p>
    <w:p>
      <w:r>
        <w:rPr>
          <w:rFonts w:ascii="Courier New" w:hAnsi="Courier New"/>
          <w:sz w:val="19"/>
        </w:rPr>
        <w:t>RMACDConstraintError</w:t>
      </w:r>
      <w:r>
        <w:t xml:space="preserve">, </w:t>
      </w:r>
      <w:r>
        <w:rPr>
          <w:rFonts w:ascii="Courier New" w:hAnsi="Courier New"/>
          <w:sz w:val="19"/>
        </w:rPr>
        <w:t>RMACDApprovalRequiredError</w:t>
      </w:r>
      <w:r>
        <w:t>,</w:t>
      </w:r>
    </w:p>
    <w:p>
      <w:r>
        <w:rPr>
          <w:rFonts w:ascii="Courier New" w:hAnsi="Courier New"/>
          <w:sz w:val="19"/>
        </w:rPr>
        <w:t>RMACDApprovalDeniedError</w:t>
      </w:r>
      <w:r>
        <w:t xml:space="preserve">, </w:t>
      </w:r>
      <w:r>
        <w:rPr>
          <w:rFonts w:ascii="Courier New" w:hAnsi="Courier New"/>
          <w:sz w:val="19"/>
        </w:rPr>
        <w:t>RMACDApprovalTimeoutError</w:t>
      </w:r>
      <w:r>
        <w:t>,</w:t>
      </w:r>
    </w:p>
    <w:p>
      <w:r>
        <w:rPr>
          <w:rFonts w:ascii="Courier New" w:hAnsi="Courier New"/>
          <w:sz w:val="19"/>
        </w:rPr>
        <w:t>RMACDEgressBlockedError</w:t>
      </w:r>
      <w:r>
        <w:t>.</w:t>
      </w:r>
    </w:p>
    <w:p>
      <w:pPr>
        <w:pStyle w:val="ListBullet"/>
      </w:pPr>
      <w:r>
        <w:rPr>
          <w:b/>
        </w:rPr>
        <w:t>Immutable safety floor</w:t>
      </w:r>
      <w:r>
        <w:t xml:space="preserve"> — the evaluator enforces the §12.5 prohibitions</w:t>
      </w:r>
    </w:p>
    <w:p>
      <w:r>
        <w:t>(Add/Change/Delete on Restricted) as a hard runtime floor that no profile</w:t>
      </w:r>
    </w:p>
    <w:p>
      <w:r>
        <w:t xml:space="preserve">permission, </w:t>
      </w:r>
      <w:r>
        <w:rPr>
          <w:rFonts w:ascii="Courier New" w:hAnsi="Courier New"/>
          <w:sz w:val="19"/>
        </w:rPr>
        <w:t>autonomy_overrides</w:t>
      </w:r>
      <w:r>
        <w:t xml:space="preserve"> entry, or emergency escalation can raise.</w:t>
      </w:r>
    </w:p>
    <w:p>
      <w:r>
        <w:t>This complements the schema-level rejection of such profiles and guarantees</w:t>
      </w:r>
    </w:p>
    <w:p>
      <w:r>
        <w:t>the boundary holds even for profiles built in code rather than loaded from a</w:t>
      </w:r>
    </w:p>
    <w:p>
      <w:r>
        <w:t>validated file.</w:t>
      </w:r>
    </w:p>
    <w:p>
      <w:pPr>
        <w:pStyle w:val="Heading3"/>
      </w:pPr>
      <w:r>
        <w:t>Reference integrations</w:t>
      </w:r>
    </w:p>
    <w:p>
      <w:r>
        <w:t xml:space="preserve">Runnable end-to-end examples live in </w:t>
      </w:r>
      <w:r>
        <w:rPr>
          <w:rFonts w:ascii="Courier New" w:hAnsi="Courier New"/>
          <w:sz w:val="19"/>
        </w:rPr>
        <w:t>spec/examples/</w:t>
      </w:r>
      <w:r>
        <w:t>:</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Directory</w:t>
            </w:r>
          </w:p>
        </w:tc>
        <w:tc>
          <w:tcPr>
            <w:tcW w:type="dxa" w:w="4824"/>
          </w:tcPr>
          <w:p>
            <w:r>
              <w:rPr>
                <w:b/>
                <w:sz w:val="19"/>
              </w:rPr>
            </w:r>
            <w:r>
              <w:rPr>
                <w:b/>
                <w:sz w:val="19"/>
              </w:rPr>
              <w:t>What it shows</w:t>
            </w:r>
          </w:p>
        </w:tc>
      </w:tr>
      <w:tr>
        <w:tc>
          <w:tcPr>
            <w:tcW w:type="dxa" w:w="4824"/>
          </w:tcPr>
          <w:p>
            <w:r>
              <w:rPr>
                <w:sz w:val="19"/>
              </w:rPr>
            </w:r>
            <w:r>
              <w:rPr>
                <w:rFonts w:ascii="Courier New" w:hAnsi="Courier New"/>
                <w:sz w:val="19"/>
              </w:rPr>
              <w:t>agent-integration-claude-sdk/</w:t>
            </w:r>
          </w:p>
        </w:tc>
        <w:tc>
          <w:tcPr>
            <w:tcW w:type="dxa" w:w="4824"/>
          </w:tcPr>
          <w:p>
            <w:r>
              <w:rPr>
                <w:sz w:val="19"/>
              </w:rPr>
            </w:r>
            <w:r>
              <w:rPr>
                <w:sz w:val="19"/>
              </w:rPr>
              <w:t xml:space="preserve">Claude Agent SDK with </w:t>
            </w:r>
            <w:r>
              <w:rPr>
                <w:rFonts w:ascii="Courier New" w:hAnsi="Courier New"/>
                <w:sz w:val="19"/>
              </w:rPr>
              <w:t>PreToolUse</w:t>
            </w:r>
            <w:r>
              <w:rPr>
                <w:sz w:val="19"/>
              </w:rPr>
              <w:t xml:space="preserve"> hook → </w:t>
            </w:r>
            <w:r>
              <w:rPr>
                <w:rFonts w:ascii="Courier New" w:hAnsi="Courier New"/>
                <w:sz w:val="19"/>
              </w:rPr>
              <w:t>PolicyEnforcer.enforce</w:t>
            </w:r>
            <w:r>
              <w:rPr>
                <w:sz w:val="19"/>
              </w:rPr>
              <w:t>. Seven DevOps tools exercising all five RMACD verbs across all four data tiers.</w:t>
            </w:r>
          </w:p>
        </w:tc>
      </w:tr>
      <w:tr>
        <w:tc>
          <w:tcPr>
            <w:tcW w:type="dxa" w:w="4824"/>
          </w:tcPr>
          <w:p>
            <w:r>
              <w:rPr>
                <w:sz w:val="19"/>
              </w:rPr>
            </w:r>
            <w:r>
              <w:rPr>
                <w:rFonts w:ascii="Courier New" w:hAnsi="Courier New"/>
                <w:sz w:val="19"/>
              </w:rPr>
              <w:t>agent-integration-anthropic-sdk/</w:t>
            </w:r>
          </w:p>
        </w:tc>
        <w:tc>
          <w:tcPr>
            <w:tcW w:type="dxa" w:w="4824"/>
          </w:tcPr>
          <w:p>
            <w:r>
              <w:rPr>
                <w:sz w:val="19"/>
              </w:rPr>
            </w:r>
            <w:r>
              <w:rPr>
                <w:sz w:val="19"/>
              </w:rPr>
              <w:t xml:space="preserve">Raw Anthropic SDK manual tool-use loop with prompt caching; </w:t>
            </w:r>
            <w:r>
              <w:rPr>
                <w:rFonts w:ascii="Courier New" w:hAnsi="Courier New"/>
                <w:sz w:val="19"/>
              </w:rPr>
              <w:t>dispatch_tool()</w:t>
            </w:r>
            <w:r>
              <w:rPr>
                <w:sz w:val="19"/>
              </w:rPr>
              <w:t xml:space="preserve"> is the single integration site that any framework adapts.</w:t>
            </w:r>
          </w:p>
        </w:tc>
      </w:tr>
      <w:tr>
        <w:tc>
          <w:tcPr>
            <w:tcW w:type="dxa" w:w="4824"/>
          </w:tcPr>
          <w:p>
            <w:r>
              <w:rPr>
                <w:sz w:val="19"/>
              </w:rPr>
            </w:r>
            <w:r>
              <w:rPr>
                <w:rFonts w:ascii="Courier New" w:hAnsi="Courier New"/>
                <w:sz w:val="19"/>
              </w:rPr>
              <w:t>dc2d-customer-support/</w:t>
            </w:r>
          </w:p>
        </w:tc>
        <w:tc>
          <w:tcPr>
            <w:tcW w:type="dxa" w:w="4824"/>
          </w:tcPr>
          <w:p>
            <w:r>
              <w:rPr>
                <w:sz w:val="19"/>
              </w:rPr>
            </w:r>
            <w:r>
              <w:rPr>
                <w:sz w:val="19"/>
              </w:rPr>
              <w:t>Self-contained DC2D demo (no LLM) showing redaction and egress controls on customer records across all four tiers.</w:t>
            </w:r>
          </w:p>
        </w:tc>
      </w:tr>
    </w:tbl>
    <w:p/>
    <w:p>
      <w:pPr>
        <w:pStyle w:val="Heading3"/>
      </w:pPr>
      <w:r>
        <w:t>Companion documentation</w:t>
      </w:r>
    </w:p>
    <w:p>
      <w:pPr>
        <w:pStyle w:val="ListBullet"/>
      </w:pPr>
      <w:r>
        <w:rPr>
          <w:b/>
        </w:rPr>
        <w:t>`docs/runtime-patterns.md`</w:t>
      </w:r>
      <w:r>
        <w:t xml:space="preserve"> — profile binding, resource</w:t>
      </w:r>
    </w:p>
    <w:p>
      <w:r>
        <w:t>classification lookup, dynamic operation classification, approval-wait</w:t>
      </w:r>
    </w:p>
    <w:p>
      <w:r>
        <w:t>semantics, SDK error contract, agent self-restriction prompt, DC2D</w:t>
      </w:r>
    </w:p>
    <w:p>
      <w:r>
        <w:t>runtime, and an end-to-end integration checklist with the</w:t>
      </w:r>
    </w:p>
    <w:p>
      <w:r>
        <w:t>SDK-provides-vs-integrator-provides boundary.</w:t>
      </w:r>
    </w:p>
    <w:p>
      <w:pPr>
        <w:pStyle w:val="ListBullet"/>
      </w:pPr>
      <w:r>
        <w:rPr>
          <w:b/>
        </w:rPr>
        <w:t>`docs/framework-adapters.md`</w:t>
      </w:r>
      <w:r>
        <w:t xml:space="preserve"> — registry-backed </w:t>
      </w:r>
      <w:r>
        <w:rPr>
          <w:rFonts w:ascii="Courier New" w:hAnsi="Courier New"/>
          <w:sz w:val="19"/>
        </w:rPr>
        <w:t>enforce_tool_call</w:t>
      </w:r>
    </w:p>
    <w:p>
      <w:r>
        <w:t>(including bash-command and MCP auto-classification), plus copy-pasteable</w:t>
      </w:r>
    </w:p>
    <w:p>
      <w:r>
        <w:t>integration code for the OpenAI Agents SDK (tool guardrail +</w:t>
      </w:r>
    </w:p>
    <w:p>
      <w:r>
        <w:rPr>
          <w:rFonts w:ascii="Courier New" w:hAnsi="Courier New"/>
          <w:sz w:val="19"/>
        </w:rPr>
        <w:t>needs_approval</w:t>
      </w:r>
      <w:r>
        <w:t>), Microsoft Agent Framework (</w:t>
      </w:r>
      <w:r>
        <w:rPr>
          <w:rFonts w:ascii="Courier New" w:hAnsi="Courier New"/>
          <w:sz w:val="19"/>
        </w:rPr>
        <w:t>FunctionMiddleware</w:t>
      </w:r>
      <w:r>
        <w:t>),</w:t>
      </w:r>
    </w:p>
    <w:p>
      <w:r>
        <w:t>LangChain (callback handler + per-tool decorator), AutoGen v0.4+</w:t>
      </w:r>
    </w:p>
    <w:p>
      <w:r>
        <w:t>(function-tool wrapper), CrewAI (</w:t>
      </w:r>
      <w:r>
        <w:rPr>
          <w:rFonts w:ascii="Courier New" w:hAnsi="Courier New"/>
          <w:sz w:val="19"/>
        </w:rPr>
        <w:t>BaseTool</w:t>
      </w:r>
      <w:r>
        <w:t xml:space="preserve"> mixin), and a generic</w:t>
      </w:r>
    </w:p>
    <w:p>
      <w:r>
        <w:t>dispatch-site pattern.</w:t>
      </w:r>
    </w:p>
    <w:p>
      <w:pPr>
        <w:pStyle w:val="Heading3"/>
      </w:pPr>
      <w:r>
        <w:t>Relationship to the Tools Registry</w:t>
      </w:r>
    </w:p>
    <w:p>
      <w:r>
        <w:t>Section 9.4 describes the Tools Registry (</w:t>
      </w:r>
      <w:r>
        <w:rPr>
          <w:rFonts w:ascii="Courier New" w:hAnsi="Courier New"/>
          <w:sz w:val="19"/>
        </w:rPr>
        <w:t>rmacd.registry</w:t>
      </w:r>
      <w:r>
        <w:t>), which the</w:t>
      </w:r>
    </w:p>
    <w:p>
      <w:r>
        <w:t xml:space="preserve">enforcer consults via </w:t>
      </w:r>
      <w:r>
        <w:rPr>
          <w:rFonts w:ascii="Courier New" w:hAnsi="Courier New"/>
          <w:sz w:val="19"/>
        </w:rPr>
        <w:t>enforce_tool_call</w:t>
      </w:r>
      <w:r>
        <w:t xml:space="preserve"> to classify a call and apply the</w:t>
      </w:r>
    </w:p>
    <w:p>
      <w:r>
        <w:t>tool capability ceiling. The registry answers "what does this tool call</w:t>
      </w:r>
    </w:p>
    <w:p>
      <w:r>
        <w:rPr>
          <w:i/>
        </w:rPr>
        <w:t>mean</w:t>
      </w:r>
      <w:r>
        <w:t xml:space="preserve"> in RMACD terms, and what may this tool ever do?"; </w:t>
      </w:r>
      <w:r>
        <w:rPr>
          <w:rFonts w:ascii="Courier New" w:hAnsi="Courier New"/>
          <w:sz w:val="19"/>
        </w:rPr>
        <w:t>PolicyEnforcer</w:t>
      </w:r>
    </w:p>
    <w:p>
      <w:r>
        <w:t xml:space="preserve">answers "may </w:t>
      </w:r>
      <w:r>
        <w:rPr>
          <w:i/>
        </w:rPr>
        <w:t>this agent</w:t>
      </w:r>
      <w:r>
        <w:t xml:space="preserve"> do that, right now?" — and enforces the</w:t>
      </w:r>
    </w:p>
    <w:p>
      <w:r>
        <w:t xml:space="preserve">intersection. The previously-standalone </w:t>
      </w:r>
      <w:r>
        <w:rPr>
          <w:rFonts w:ascii="Courier New" w:hAnsi="Courier New"/>
          <w:sz w:val="19"/>
        </w:rPr>
        <w:t>tools-registry/</w:t>
      </w:r>
      <w:r>
        <w:t xml:space="preserve"> directory was</w:t>
      </w:r>
    </w:p>
    <w:p>
      <w:r>
        <w:t xml:space="preserve">folded into </w:t>
      </w:r>
      <w:r>
        <w:rPr>
          <w:rFonts w:ascii="Courier New" w:hAnsi="Courier New"/>
          <w:sz w:val="19"/>
        </w:rPr>
        <w:t>rmacd.registry</w:t>
      </w:r>
      <w:r>
        <w:t xml:space="preserve"> and removed in v1.4.0.</w:t>
      </w:r>
    </w:p>
    <w:p>
      <w:pPr>
        <w:pStyle w:val="Heading1"/>
      </w:pPr>
      <w:r>
        <w:t>10. Regulatory Compliance Mapping</w:t>
      </w:r>
    </w:p>
    <w:p>
      <w:pPr>
        <w:pStyle w:val="Heading2"/>
      </w:pPr>
      <w:r>
        <w:t>10.1 Framework Alignment</w:t>
      </w:r>
    </w:p>
    <w:p>
      <w:r>
        <w:t>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ListBullet"/>
      </w:pPr>
      <w:r>
        <w:rPr>
          <w:b/>
        </w:rPr>
        <w:t>GDPR (General Data Protection Regulation):</w:t>
      </w:r>
      <w:r>
        <w:t xml:space="preserve"> 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pStyle w:val="ListBullet"/>
      </w:pPr>
      <w:r>
        <w:rPr>
          <w:b/>
        </w:rPr>
        <w:t>HIPAA (Health Insurance Portability and Accountability Act):</w:t>
      </w:r>
      <w:r>
        <w:t xml:space="preserve"> Protected Health Information (PHI) maps to Restricted tier. The RMACD model enforces minimum necessary access (R-only default), audit logging requirements, and approval controls for any mutative operation.</w:t>
      </w:r>
    </w:p>
    <w:p>
      <w:pPr>
        <w:pStyle w:val="ListBullet"/>
      </w:pPr>
      <w:r>
        <w:rPr>
          <w:b/>
        </w:rPr>
        <w:t>PCI-DSS (Payment Card Industry Data Security Standard):</w:t>
      </w:r>
      <w:r>
        <w:t xml:space="preserve"> Cardholder data maps to Restricted tier. RMACD's prohibition on autonomous Change/Delete operations aligns with PCI requirements for privileged access management and change control.</w:t>
      </w:r>
    </w:p>
    <w:p>
      <w:pPr>
        <w:pStyle w:val="ListBullet"/>
      </w:pPr>
      <w:r>
        <w:rPr>
          <w:b/>
        </w:rPr>
        <w:t>SOX (Sarbanes-Oxley Act):</w:t>
      </w:r>
      <w:r>
        <w:t xml:space="preserve"> Financial data maps to Confidential tier. Separation of duties is enforced through differentiated agent profiles; audit requirements are addressed through the logging framework.</w:t>
      </w:r>
    </w:p>
    <w:p>
      <w:pPr>
        <w:pStyle w:val="Heading2"/>
      </w:pPr>
      <w:r>
        <w:t>10.2 Compliance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Regulation</w:t>
            </w:r>
          </w:p>
        </w:tc>
        <w:tc>
          <w:tcPr>
            <w:tcW w:type="dxa" w:w="2412"/>
          </w:tcPr>
          <w:p>
            <w:r>
              <w:rPr>
                <w:b/>
                <w:sz w:val="19"/>
              </w:rPr>
            </w:r>
            <w:r>
              <w:rPr>
                <w:b/>
                <w:sz w:val="19"/>
              </w:rPr>
              <w:t>Data Classification</w:t>
            </w:r>
          </w:p>
        </w:tc>
        <w:tc>
          <w:tcPr>
            <w:tcW w:type="dxa" w:w="2412"/>
          </w:tcPr>
          <w:p>
            <w:r>
              <w:rPr>
                <w:b/>
                <w:sz w:val="19"/>
              </w:rPr>
            </w:r>
            <w:r>
              <w:rPr>
                <w:b/>
                <w:sz w:val="19"/>
              </w:rPr>
              <w:t>Key RMACD Control</w:t>
            </w:r>
          </w:p>
        </w:tc>
        <w:tc>
          <w:tcPr>
            <w:tcW w:type="dxa" w:w="2412"/>
          </w:tcPr>
          <w:p>
            <w:r>
              <w:rPr>
                <w:b/>
                <w:sz w:val="19"/>
              </w:rPr>
            </w:r>
            <w:r>
              <w:rPr>
                <w:b/>
                <w:sz w:val="19"/>
              </w:rPr>
              <w:t>Audit Requirement</w:t>
            </w:r>
          </w:p>
        </w:tc>
      </w:tr>
      <w:tr>
        <w:tc>
          <w:tcPr>
            <w:tcW w:type="dxa" w:w="2412"/>
          </w:tcPr>
          <w:p>
            <w:r>
              <w:rPr>
                <w:sz w:val="19"/>
              </w:rPr>
            </w:r>
            <w:r>
              <w:rPr>
                <w:sz w:val="19"/>
              </w:rPr>
              <w:t>GDPR</w:t>
            </w:r>
          </w:p>
        </w:tc>
        <w:tc>
          <w:tcPr>
            <w:tcW w:type="dxa" w:w="2412"/>
          </w:tcPr>
          <w:p>
            <w:r>
              <w:rPr>
                <w:sz w:val="19"/>
              </w:rPr>
            </w:r>
            <w:r>
              <w:rPr>
                <w:sz w:val="19"/>
              </w:rPr>
              <w:t>Confidential/Restricted</w:t>
            </w:r>
          </w:p>
        </w:tc>
        <w:tc>
          <w:tcPr>
            <w:tcW w:type="dxa" w:w="2412"/>
          </w:tcPr>
          <w:p>
            <w:r>
              <w:rPr>
                <w:sz w:val="19"/>
              </w:rPr>
            </w:r>
            <w:r>
              <w:rPr>
                <w:sz w:val="19"/>
              </w:rPr>
              <w:t>HITL for C/D operations</w:t>
            </w:r>
          </w:p>
        </w:tc>
        <w:tc>
          <w:tcPr>
            <w:tcW w:type="dxa" w:w="2412"/>
          </w:tcPr>
          <w:p>
            <w:r>
              <w:rPr>
                <w:sz w:val="19"/>
              </w:rPr>
            </w:r>
            <w:r>
              <w:rPr>
                <w:sz w:val="19"/>
              </w:rPr>
              <w:t>Processing activity logs</w:t>
            </w:r>
          </w:p>
        </w:tc>
      </w:tr>
      <w:tr>
        <w:tc>
          <w:tcPr>
            <w:tcW w:type="dxa" w:w="2412"/>
          </w:tcPr>
          <w:p>
            <w:r>
              <w:rPr>
                <w:sz w:val="19"/>
              </w:rPr>
            </w:r>
            <w:r>
              <w:rPr>
                <w:sz w:val="19"/>
              </w:rPr>
              <w:t>HIPAA</w:t>
            </w:r>
          </w:p>
        </w:tc>
        <w:tc>
          <w:tcPr>
            <w:tcW w:type="dxa" w:w="2412"/>
          </w:tcPr>
          <w:p>
            <w:r>
              <w:rPr>
                <w:sz w:val="19"/>
              </w:rPr>
            </w:r>
            <w:r>
              <w:rPr>
                <w:sz w:val="19"/>
              </w:rPr>
              <w:t>Restricted</w:t>
            </w:r>
          </w:p>
        </w:tc>
        <w:tc>
          <w:tcPr>
            <w:tcW w:type="dxa" w:w="2412"/>
          </w:tcPr>
          <w:p>
            <w:r>
              <w:rPr>
                <w:sz w:val="19"/>
              </w:rPr>
            </w:r>
            <w:r>
              <w:rPr>
                <w:sz w:val="19"/>
              </w:rPr>
              <w:t>R-only default; prohibit C/D</w:t>
            </w:r>
          </w:p>
        </w:tc>
        <w:tc>
          <w:tcPr>
            <w:tcW w:type="dxa" w:w="2412"/>
          </w:tcPr>
          <w:p>
            <w:r>
              <w:rPr>
                <w:sz w:val="19"/>
              </w:rPr>
            </w:r>
            <w:r>
              <w:rPr>
                <w:sz w:val="19"/>
              </w:rPr>
              <w:t>6-year retention</w:t>
            </w:r>
          </w:p>
        </w:tc>
      </w:tr>
      <w:tr>
        <w:tc>
          <w:tcPr>
            <w:tcW w:type="dxa" w:w="2412"/>
          </w:tcPr>
          <w:p>
            <w:r>
              <w:rPr>
                <w:sz w:val="19"/>
              </w:rPr>
            </w:r>
            <w:r>
              <w:rPr>
                <w:sz w:val="19"/>
              </w:rPr>
              <w:t>PCI-DSS</w:t>
            </w:r>
          </w:p>
        </w:tc>
        <w:tc>
          <w:tcPr>
            <w:tcW w:type="dxa" w:w="2412"/>
          </w:tcPr>
          <w:p>
            <w:r>
              <w:rPr>
                <w:sz w:val="19"/>
              </w:rPr>
            </w:r>
            <w:r>
              <w:rPr>
                <w:sz w:val="19"/>
              </w:rPr>
              <w:t>Restricted</w:t>
            </w:r>
          </w:p>
        </w:tc>
        <w:tc>
          <w:tcPr>
            <w:tcW w:type="dxa" w:w="2412"/>
          </w:tcPr>
          <w:p>
            <w:r>
              <w:rPr>
                <w:sz w:val="19"/>
              </w:rPr>
            </w:r>
            <w:r>
              <w:rPr>
                <w:sz w:val="19"/>
              </w:rPr>
              <w:t>Prohibit autonomous C/D</w:t>
            </w:r>
          </w:p>
        </w:tc>
        <w:tc>
          <w:tcPr>
            <w:tcW w:type="dxa" w:w="2412"/>
          </w:tcPr>
          <w:p>
            <w:r>
              <w:rPr>
                <w:sz w:val="19"/>
              </w:rPr>
            </w:r>
            <w:r>
              <w:rPr>
                <w:sz w:val="19"/>
              </w:rPr>
              <w:t>1-year online, archive</w:t>
            </w:r>
          </w:p>
        </w:tc>
      </w:tr>
      <w:tr>
        <w:tc>
          <w:tcPr>
            <w:tcW w:type="dxa" w:w="2412"/>
          </w:tcPr>
          <w:p>
            <w:r>
              <w:rPr>
                <w:sz w:val="19"/>
              </w:rPr>
            </w:r>
            <w:r>
              <w:rPr>
                <w:sz w:val="19"/>
              </w:rPr>
              <w:t>SOX</w:t>
            </w:r>
          </w:p>
        </w:tc>
        <w:tc>
          <w:tcPr>
            <w:tcW w:type="dxa" w:w="2412"/>
          </w:tcPr>
          <w:p>
            <w:r>
              <w:rPr>
                <w:sz w:val="19"/>
              </w:rPr>
            </w:r>
            <w:r>
              <w:rPr>
                <w:sz w:val="19"/>
              </w:rPr>
              <w:t>Confidential</w:t>
            </w:r>
          </w:p>
        </w:tc>
        <w:tc>
          <w:tcPr>
            <w:tcW w:type="dxa" w:w="2412"/>
          </w:tcPr>
          <w:p>
            <w:r>
              <w:rPr>
                <w:sz w:val="19"/>
              </w:rPr>
            </w:r>
            <w:r>
              <w:rPr>
                <w:sz w:val="19"/>
              </w:rPr>
              <w:t>Elevated approval for C</w:t>
            </w:r>
          </w:p>
        </w:tc>
        <w:tc>
          <w:tcPr>
            <w:tcW w:type="dxa" w:w="2412"/>
          </w:tcPr>
          <w:p>
            <w:r>
              <w:rPr>
                <w:sz w:val="19"/>
              </w:rPr>
            </w:r>
            <w:r>
              <w:rPr>
                <w:sz w:val="19"/>
              </w:rPr>
              <w:t>7-year retention</w:t>
            </w:r>
          </w:p>
        </w:tc>
      </w:tr>
      <w:tr>
        <w:tc>
          <w:tcPr>
            <w:tcW w:type="dxa" w:w="2412"/>
          </w:tcPr>
          <w:p>
            <w:r>
              <w:rPr>
                <w:sz w:val="19"/>
              </w:rPr>
            </w:r>
            <w:r>
              <w:rPr>
                <w:sz w:val="19"/>
              </w:rPr>
              <w:t>ISO 27001</w:t>
            </w:r>
          </w:p>
        </w:tc>
        <w:tc>
          <w:tcPr>
            <w:tcW w:type="dxa" w:w="2412"/>
          </w:tcPr>
          <w:p>
            <w:r>
              <w:rPr>
                <w:sz w:val="19"/>
              </w:rPr>
            </w:r>
            <w:r>
              <w:rPr>
                <w:sz w:val="19"/>
              </w:rPr>
              <w:t>All tiers</w:t>
            </w:r>
          </w:p>
        </w:tc>
        <w:tc>
          <w:tcPr>
            <w:tcW w:type="dxa" w:w="2412"/>
          </w:tcPr>
          <w:p>
            <w:r>
              <w:rPr>
                <w:sz w:val="19"/>
              </w:rPr>
            </w:r>
            <w:r>
              <w:rPr>
                <w:sz w:val="19"/>
              </w:rPr>
              <w:t>Classification-based controls</w:t>
            </w:r>
          </w:p>
        </w:tc>
        <w:tc>
          <w:tcPr>
            <w:tcW w:type="dxa" w:w="2412"/>
          </w:tcPr>
          <w:p>
            <w:r>
              <w:rPr>
                <w:sz w:val="19"/>
              </w:rPr>
            </w:r>
            <w:r>
              <w:rPr>
                <w:sz w:val="19"/>
              </w:rPr>
              <w:t>As per risk assessment</w:t>
            </w:r>
          </w:p>
        </w:tc>
      </w:tr>
    </w:tbl>
    <w:p/>
    <w:p>
      <w:pPr>
        <w:pStyle w:val="Heading2"/>
      </w:pPr>
      <w:r>
        <w:t>10.3 Additional Regulatory Frameworks</w:t>
      </w:r>
    </w:p>
    <w:p>
      <w:pPr>
        <w:pStyle w:val="Heading3"/>
      </w:pPr>
      <w:r>
        <w:t>CCPA/CPRA (California Consumer Privacy Act / California Privacy Rights Act)</w:t>
      </w:r>
    </w:p>
    <w:p>
      <w:r>
        <w:t>The California Consumer Privacy Act, as amended by the California Privacy Rights Act, establishes consumer rights over personal information for California residents.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CCPA/CPRA Requirement</w:t>
            </w:r>
          </w:p>
        </w:tc>
        <w:tc>
          <w:tcPr>
            <w:tcW w:type="dxa" w:w="4824"/>
          </w:tcPr>
          <w:p>
            <w:r>
              <w:rPr>
                <w:b/>
                <w:sz w:val="19"/>
              </w:rPr>
            </w:r>
            <w:r>
              <w:rPr>
                <w:b/>
                <w:sz w:val="19"/>
              </w:rPr>
              <w:t>RMACD Implementation</w:t>
            </w:r>
          </w:p>
        </w:tc>
      </w:tr>
      <w:tr>
        <w:tc>
          <w:tcPr>
            <w:tcW w:type="dxa" w:w="4824"/>
          </w:tcPr>
          <w:p>
            <w:r>
              <w:rPr>
                <w:sz w:val="19"/>
              </w:rPr>
            </w:r>
            <w:r>
              <w:rPr>
                <w:b/>
                <w:sz w:val="19"/>
              </w:rPr>
              <w:t>Right to Know</w:t>
            </w:r>
          </w:p>
        </w:tc>
        <w:tc>
          <w:tcPr>
            <w:tcW w:type="dxa" w:w="4824"/>
          </w:tcPr>
          <w:p>
            <w:r>
              <w:rPr>
                <w:sz w:val="19"/>
              </w:rPr>
            </w:r>
            <w:r>
              <w:rPr>
                <w:sz w:val="19"/>
              </w:rPr>
              <w:t xml:space="preserve">Read operations on Confidential data with </w:t>
            </w:r>
            <w:r>
              <w:rPr>
                <w:rFonts w:ascii="Courier New" w:hAnsi="Courier New"/>
                <w:sz w:val="19"/>
              </w:rPr>
              <w:t>logged</w:t>
            </w:r>
            <w:r>
              <w:rPr>
                <w:sz w:val="19"/>
              </w:rPr>
              <w:t xml:space="preserve"> autonomy; audit trails demonstrate what data was accessed</w:t>
            </w:r>
          </w:p>
        </w:tc>
      </w:tr>
      <w:tr>
        <w:tc>
          <w:tcPr>
            <w:tcW w:type="dxa" w:w="4824"/>
          </w:tcPr>
          <w:p>
            <w:r>
              <w:rPr>
                <w:sz w:val="19"/>
              </w:rPr>
            </w:r>
            <w:r>
              <w:rPr>
                <w:b/>
                <w:sz w:val="19"/>
              </w:rPr>
              <w:t>Right to Delete</w:t>
            </w:r>
          </w:p>
        </w:tc>
        <w:tc>
          <w:tcPr>
            <w:tcW w:type="dxa" w:w="4824"/>
          </w:tcPr>
          <w:p>
            <w:r>
              <w:rPr>
                <w:sz w:val="19"/>
              </w:rPr>
            </w:r>
            <w:r>
              <w:rPr>
                <w:sz w:val="19"/>
              </w:rPr>
              <w:t xml:space="preserve">Delete operations require </w:t>
            </w:r>
            <w:r>
              <w:rPr>
                <w:rFonts w:ascii="Courier New" w:hAnsi="Courier New"/>
                <w:sz w:val="19"/>
              </w:rPr>
              <w:t>approval</w:t>
            </w:r>
            <w:r>
              <w:rPr>
                <w:sz w:val="19"/>
              </w:rPr>
              <w:t xml:space="preserve"> or </w:t>
            </w:r>
            <w:r>
              <w:rPr>
                <w:rFonts w:ascii="Courier New" w:hAnsi="Courier New"/>
                <w:sz w:val="19"/>
              </w:rPr>
              <w:t>elevated_approval</w:t>
            </w:r>
            <w:r>
              <w:rPr>
                <w:sz w:val="19"/>
              </w:rPr>
              <w:t>; soft-delete grace periods enable request fulfillment</w:t>
            </w:r>
          </w:p>
        </w:tc>
      </w:tr>
      <w:tr>
        <w:tc>
          <w:tcPr>
            <w:tcW w:type="dxa" w:w="4824"/>
          </w:tcPr>
          <w:p>
            <w:r>
              <w:rPr>
                <w:sz w:val="19"/>
              </w:rPr>
            </w:r>
            <w:r>
              <w:rPr>
                <w:b/>
                <w:sz w:val="19"/>
              </w:rPr>
              <w:t>Right to Correct</w:t>
            </w:r>
          </w:p>
        </w:tc>
        <w:tc>
          <w:tcPr>
            <w:tcW w:type="dxa" w:w="4824"/>
          </w:tcPr>
          <w:p>
            <w:r>
              <w:rPr>
                <w:sz w:val="19"/>
              </w:rPr>
            </w:r>
            <w:r>
              <w:rPr>
                <w:sz w:val="19"/>
              </w:rPr>
              <w:t xml:space="preserve">Change operations on personal data require </w:t>
            </w:r>
            <w:r>
              <w:rPr>
                <w:rFonts w:ascii="Courier New" w:hAnsi="Courier New"/>
                <w:sz w:val="19"/>
              </w:rPr>
              <w:t>approval</w:t>
            </w:r>
            <w:r>
              <w:rPr>
                <w:sz w:val="19"/>
              </w:rPr>
              <w:t xml:space="preserve"> with documented justification</w:t>
            </w:r>
          </w:p>
        </w:tc>
      </w:tr>
      <w:tr>
        <w:tc>
          <w:tcPr>
            <w:tcW w:type="dxa" w:w="4824"/>
          </w:tcPr>
          <w:p>
            <w:r>
              <w:rPr>
                <w:sz w:val="19"/>
              </w:rPr>
            </w:r>
            <w:r>
              <w:rPr>
                <w:b/>
                <w:sz w:val="19"/>
              </w:rPr>
              <w:t>Right to Opt-Out (Sale/Sharing)</w:t>
            </w:r>
          </w:p>
        </w:tc>
        <w:tc>
          <w:tcPr>
            <w:tcW w:type="dxa" w:w="4824"/>
          </w:tcPr>
          <w:p>
            <w:r>
              <w:rPr>
                <w:sz w:val="19"/>
              </w:rPr>
            </w:r>
            <w:r>
              <w:rPr>
                <w:sz w:val="19"/>
              </w:rPr>
              <w:t xml:space="preserve">Move operations involving data transfer require </w:t>
            </w:r>
            <w:r>
              <w:rPr>
                <w:rFonts w:ascii="Courier New" w:hAnsi="Courier New"/>
                <w:sz w:val="19"/>
              </w:rPr>
              <w:t>approval</w:t>
            </w:r>
            <w:r>
              <w:rPr>
                <w:sz w:val="19"/>
              </w:rPr>
              <w:t>; prohibited destinations prevent unauthorized sharing</w:t>
            </w:r>
          </w:p>
        </w:tc>
      </w:tr>
      <w:tr>
        <w:tc>
          <w:tcPr>
            <w:tcW w:type="dxa" w:w="4824"/>
          </w:tcPr>
          <w:p>
            <w:r>
              <w:rPr>
                <w:sz w:val="19"/>
              </w:rPr>
            </w:r>
            <w:r>
              <w:rPr>
                <w:b/>
                <w:sz w:val="19"/>
              </w:rPr>
              <w:t>Data Minimization</w:t>
            </w:r>
          </w:p>
        </w:tc>
        <w:tc>
          <w:tcPr>
            <w:tcW w:type="dxa" w:w="4824"/>
          </w:tcPr>
          <w:p>
            <w:r>
              <w:rPr>
                <w:sz w:val="19"/>
              </w:rPr>
            </w:r>
            <w:r>
              <w:rPr>
                <w:sz w:val="19"/>
              </w:rPr>
              <w:t>Permission profiles enforce minimum necessary access; Read-only profiles for agents that don't need mutation</w:t>
            </w:r>
          </w:p>
        </w:tc>
      </w:tr>
      <w:tr>
        <w:tc>
          <w:tcPr>
            <w:tcW w:type="dxa" w:w="4824"/>
          </w:tcPr>
          <w:p>
            <w:r>
              <w:rPr>
                <w:sz w:val="19"/>
              </w:rPr>
            </w:r>
            <w:r>
              <w:rPr>
                <w:b/>
                <w:sz w:val="19"/>
              </w:rPr>
              <w:t>Sensitive Personal Information</w:t>
            </w:r>
          </w:p>
        </w:tc>
        <w:tc>
          <w:tcPr>
            <w:tcW w:type="dxa" w:w="4824"/>
          </w:tcPr>
          <w:p>
            <w:r>
              <w:rPr>
                <w:sz w:val="19"/>
              </w:rPr>
            </w:r>
            <w:r>
              <w:rPr>
                <w:sz w:val="19"/>
              </w:rPr>
              <w:t>Maps to Restricted tier; autonomous Change/Delete prohibited</w:t>
            </w:r>
          </w:p>
        </w:tc>
      </w:tr>
    </w:tbl>
    <w:p/>
    <w:p>
      <w:r>
        <w:rPr>
          <w:b/>
        </w:rPr>
        <w:t>Key Controls:</w:t>
      </w:r>
    </w:p>
    <w:p>
      <w:pPr>
        <w:pStyle w:val="ListBullet"/>
      </w:pPr>
      <w:r>
        <w:t>Consumer personal information: Confidential tier</w:t>
      </w:r>
    </w:p>
    <w:p>
      <w:pPr>
        <w:pStyle w:val="ListBullet"/>
      </w:pPr>
      <w:r>
        <w:t>Sensitive personal information (precise geolocation, race, health, etc.): Restricted tier</w:t>
      </w:r>
    </w:p>
    <w:p>
      <w:pPr>
        <w:pStyle w:val="ListBullet"/>
      </w:pPr>
      <w:r>
        <w:t>45-day response window maps to approval workflow timeouts</w:t>
      </w:r>
    </w:p>
    <w:p>
      <w:pPr>
        <w:pStyle w:val="ListBullet"/>
      </w:pPr>
      <w:r>
        <w:t>Audit retention: Minimum 24 months per CPRA</w:t>
      </w:r>
    </w:p>
    <w:p>
      <w:pPr>
        <w:pStyle w:val="Heading3"/>
      </w:pPr>
      <w:r>
        <w:t>FedRAMP (Federal Risk and Authorization Management Program)</w:t>
      </w:r>
    </w:p>
    <w:p>
      <w:r>
        <w:t>FedRAMP provides a standardized approach to security assessment for cloud products and services used by U.S. federal agencies.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FedRAMP Requirement</w:t>
            </w:r>
          </w:p>
        </w:tc>
        <w:tc>
          <w:tcPr>
            <w:tcW w:type="dxa" w:w="4824"/>
          </w:tcPr>
          <w:p>
            <w:r>
              <w:rPr>
                <w:b/>
                <w:sz w:val="19"/>
              </w:rPr>
            </w:r>
            <w:r>
              <w:rPr>
                <w:b/>
                <w:sz w:val="19"/>
              </w:rPr>
              <w:t>RMACD Implementation</w:t>
            </w:r>
          </w:p>
        </w:tc>
      </w:tr>
      <w:tr>
        <w:tc>
          <w:tcPr>
            <w:tcW w:type="dxa" w:w="4824"/>
          </w:tcPr>
          <w:p>
            <w:r>
              <w:rPr>
                <w:sz w:val="19"/>
              </w:rPr>
            </w:r>
            <w:r>
              <w:rPr>
                <w:b/>
                <w:sz w:val="19"/>
              </w:rPr>
              <w:t>Access Control (AC)</w:t>
            </w:r>
          </w:p>
        </w:tc>
        <w:tc>
          <w:tcPr>
            <w:tcW w:type="dxa" w:w="4824"/>
          </w:tcPr>
          <w:p>
            <w:r>
              <w:rPr>
                <w:sz w:val="19"/>
              </w:rPr>
            </w:r>
            <w:r>
              <w:rPr>
                <w:sz w:val="19"/>
              </w:rPr>
              <w:t>RMACD profiles enforce least privilege; autonomy levels implement separation of duties</w:t>
            </w:r>
          </w:p>
        </w:tc>
      </w:tr>
      <w:tr>
        <w:tc>
          <w:tcPr>
            <w:tcW w:type="dxa" w:w="4824"/>
          </w:tcPr>
          <w:p>
            <w:r>
              <w:rPr>
                <w:sz w:val="19"/>
              </w:rPr>
            </w:r>
            <w:r>
              <w:rPr>
                <w:b/>
                <w:sz w:val="19"/>
              </w:rPr>
              <w:t>Audit and Accountability (AU)</w:t>
            </w:r>
          </w:p>
        </w:tc>
        <w:tc>
          <w:tcPr>
            <w:tcW w:type="dxa" w:w="4824"/>
          </w:tcPr>
          <w:p>
            <w:r>
              <w:rPr>
                <w:sz w:val="19"/>
              </w:rPr>
            </w:r>
            <w:r>
              <w:rPr>
                <w:rFonts w:ascii="Courier New" w:hAnsi="Courier New"/>
                <w:sz w:val="19"/>
              </w:rPr>
              <w:t>audit_requirements</w:t>
            </w:r>
            <w:r>
              <w:rPr>
                <w:sz w:val="19"/>
              </w:rPr>
              <w:t xml:space="preserve"> object mandates log retention (minimum 90 days online, 1 year archive)</w:t>
            </w:r>
          </w:p>
        </w:tc>
      </w:tr>
      <w:tr>
        <w:tc>
          <w:tcPr>
            <w:tcW w:type="dxa" w:w="4824"/>
          </w:tcPr>
          <w:p>
            <w:r>
              <w:rPr>
                <w:sz w:val="19"/>
              </w:rPr>
            </w:r>
            <w:r>
              <w:rPr>
                <w:b/>
                <w:sz w:val="19"/>
              </w:rPr>
              <w:t>Configuration Management (CM)</w:t>
            </w:r>
          </w:p>
        </w:tc>
        <w:tc>
          <w:tcPr>
            <w:tcW w:type="dxa" w:w="4824"/>
          </w:tcPr>
          <w:p>
            <w:r>
              <w:rPr>
                <w:sz w:val="19"/>
              </w:rPr>
            </w:r>
            <w:r>
              <w:rPr>
                <w:sz w:val="19"/>
              </w:rPr>
              <w:t xml:space="preserve">Change operations require </w:t>
            </w:r>
            <w:r>
              <w:rPr>
                <w:rFonts w:ascii="Courier New" w:hAnsi="Courier New"/>
                <w:sz w:val="19"/>
              </w:rPr>
              <w:t>approval</w:t>
            </w:r>
            <w:r>
              <w:rPr>
                <w:sz w:val="19"/>
              </w:rPr>
              <w:t xml:space="preserve">; </w:t>
            </w:r>
            <w:r>
              <w:rPr>
                <w:rFonts w:ascii="Courier New" w:hAnsi="Courier New"/>
                <w:sz w:val="19"/>
              </w:rPr>
              <w:t>change_controls</w:t>
            </w:r>
            <w:r>
              <w:rPr>
                <w:sz w:val="19"/>
              </w:rPr>
              <w:t xml:space="preserve"> enforce backup and rollback requirements</w:t>
            </w:r>
          </w:p>
        </w:tc>
      </w:tr>
      <w:tr>
        <w:tc>
          <w:tcPr>
            <w:tcW w:type="dxa" w:w="4824"/>
          </w:tcPr>
          <w:p>
            <w:r>
              <w:rPr>
                <w:sz w:val="19"/>
              </w:rPr>
            </w:r>
            <w:r>
              <w:rPr>
                <w:b/>
                <w:sz w:val="19"/>
              </w:rPr>
              <w:t>Incident Response (IR)</w:t>
            </w:r>
          </w:p>
        </w:tc>
        <w:tc>
          <w:tcPr>
            <w:tcW w:type="dxa" w:w="4824"/>
          </w:tcPr>
          <w:p>
            <w:r>
              <w:rPr>
                <w:sz w:val="19"/>
              </w:rPr>
            </w:r>
            <w:r>
              <w:rPr>
                <w:rFonts w:ascii="Courier New" w:hAnsi="Courier New"/>
                <w:sz w:val="19"/>
              </w:rPr>
              <w:t>emergency_escalation</w:t>
            </w:r>
            <w:r>
              <w:rPr>
                <w:sz w:val="19"/>
              </w:rPr>
              <w:t xml:space="preserve"> enables pre-authorized incident response with mandatory post-review</w:t>
            </w:r>
          </w:p>
        </w:tc>
      </w:tr>
      <w:tr>
        <w:tc>
          <w:tcPr>
            <w:tcW w:type="dxa" w:w="4824"/>
          </w:tcPr>
          <w:p>
            <w:r>
              <w:rPr>
                <w:sz w:val="19"/>
              </w:rPr>
            </w:r>
            <w:r>
              <w:rPr>
                <w:b/>
                <w:sz w:val="19"/>
              </w:rPr>
              <w:t>System and Information Integrity (SI)</w:t>
            </w:r>
          </w:p>
        </w:tc>
        <w:tc>
          <w:tcPr>
            <w:tcW w:type="dxa" w:w="4824"/>
          </w:tcPr>
          <w:p>
            <w:r>
              <w:rPr>
                <w:sz w:val="19"/>
              </w:rPr>
            </w:r>
            <w:r>
              <w:rPr>
                <w:sz w:val="19"/>
              </w:rPr>
              <w:t>Read-only monitoring profiles enable continuous monitoring without mutation risk</w:t>
            </w:r>
          </w:p>
        </w:tc>
      </w:tr>
      <w:tr>
        <w:tc>
          <w:tcPr>
            <w:tcW w:type="dxa" w:w="4824"/>
          </w:tcPr>
          <w:p>
            <w:r>
              <w:rPr>
                <w:sz w:val="19"/>
              </w:rPr>
            </w:r>
            <w:r>
              <w:rPr>
                <w:b/>
                <w:sz w:val="19"/>
              </w:rPr>
              <w:t>Personnel Security (PS)</w:t>
            </w:r>
          </w:p>
        </w:tc>
        <w:tc>
          <w:tcPr>
            <w:tcW w:type="dxa" w:w="4824"/>
          </w:tcPr>
          <w:p>
            <w:r>
              <w:rPr>
                <w:sz w:val="19"/>
              </w:rPr>
            </w:r>
            <w:r>
              <w:rPr>
                <w:rFonts w:ascii="Courier New" w:hAnsi="Courier New"/>
                <w:sz w:val="19"/>
              </w:rPr>
              <w:t>approval_authority</w:t>
            </w:r>
            <w:r>
              <w:rPr>
                <w:sz w:val="19"/>
              </w:rPr>
              <w:t xml:space="preserve"> maps to authorized personnel; multi-approver support for elevated actions</w:t>
            </w:r>
          </w:p>
        </w:tc>
      </w:tr>
    </w:tbl>
    <w:p/>
    <w:p>
      <w:r>
        <w:rPr>
          <w:b/>
        </w:rPr>
        <w:t>Impact Level Mapping:</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FedRAMP Impact</w:t>
            </w:r>
          </w:p>
        </w:tc>
        <w:tc>
          <w:tcPr>
            <w:tcW w:type="dxa" w:w="3216"/>
          </w:tcPr>
          <w:p>
            <w:r>
              <w:rPr>
                <w:b/>
                <w:sz w:val="19"/>
              </w:rPr>
            </w:r>
            <w:r>
              <w:rPr>
                <w:b/>
                <w:sz w:val="19"/>
              </w:rPr>
              <w:t>RMACD Data Classification</w:t>
            </w:r>
          </w:p>
        </w:tc>
        <w:tc>
          <w:tcPr>
            <w:tcW w:type="dxa" w:w="3216"/>
          </w:tcPr>
          <w:p>
            <w:r>
              <w:rPr>
                <w:b/>
                <w:sz w:val="19"/>
              </w:rPr>
            </w:r>
            <w:r>
              <w:rPr>
                <w:b/>
                <w:sz w:val="19"/>
              </w:rPr>
              <w:t>Autonomy Constraints</w:t>
            </w:r>
          </w:p>
        </w:tc>
      </w:tr>
      <w:tr>
        <w:tc>
          <w:tcPr>
            <w:tcW w:type="dxa" w:w="3216"/>
          </w:tcPr>
          <w:p>
            <w:r>
              <w:rPr>
                <w:sz w:val="19"/>
              </w:rPr>
            </w:r>
            <w:r>
              <w:rPr>
                <w:b/>
                <w:sz w:val="19"/>
              </w:rPr>
              <w:t>Low</w:t>
            </w:r>
          </w:p>
        </w:tc>
        <w:tc>
          <w:tcPr>
            <w:tcW w:type="dxa" w:w="3216"/>
          </w:tcPr>
          <w:p>
            <w:r>
              <w:rPr>
                <w:sz w:val="19"/>
              </w:rPr>
            </w:r>
            <w:r>
              <w:rPr>
                <w:sz w:val="19"/>
              </w:rPr>
              <w:t>Public, Internal</w:t>
            </w:r>
          </w:p>
        </w:tc>
        <w:tc>
          <w:tcPr>
            <w:tcW w:type="dxa" w:w="3216"/>
          </w:tcPr>
          <w:p>
            <w:r>
              <w:rPr>
                <w:sz w:val="19"/>
              </w:rPr>
            </w:r>
            <w:r>
              <w:rPr>
                <w:sz w:val="19"/>
              </w:rPr>
              <w:t>Standard governance matrix</w:t>
            </w:r>
          </w:p>
        </w:tc>
      </w:tr>
      <w:tr>
        <w:tc>
          <w:tcPr>
            <w:tcW w:type="dxa" w:w="3216"/>
          </w:tcPr>
          <w:p>
            <w:r>
              <w:rPr>
                <w:sz w:val="19"/>
              </w:rPr>
            </w:r>
            <w:r>
              <w:rPr>
                <w:b/>
                <w:sz w:val="19"/>
              </w:rPr>
              <w:t>Moderate</w:t>
            </w:r>
          </w:p>
        </w:tc>
        <w:tc>
          <w:tcPr>
            <w:tcW w:type="dxa" w:w="3216"/>
          </w:tcPr>
          <w:p>
            <w:r>
              <w:rPr>
                <w:sz w:val="19"/>
              </w:rPr>
            </w:r>
            <w:r>
              <w:rPr>
                <w:sz w:val="19"/>
              </w:rPr>
              <w:t>Internal, Confidential</w:t>
            </w:r>
          </w:p>
        </w:tc>
        <w:tc>
          <w:tcPr>
            <w:tcW w:type="dxa" w:w="3216"/>
          </w:tcPr>
          <w:p>
            <w:r>
              <w:rPr>
                <w:sz w:val="19"/>
              </w:rPr>
            </w:r>
            <w:r>
              <w:rPr>
                <w:sz w:val="19"/>
              </w:rPr>
              <w:t>Approval required for C/D; enhanced logging</w:t>
            </w:r>
          </w:p>
        </w:tc>
      </w:tr>
      <w:tr>
        <w:tc>
          <w:tcPr>
            <w:tcW w:type="dxa" w:w="3216"/>
          </w:tcPr>
          <w:p>
            <w:r>
              <w:rPr>
                <w:sz w:val="19"/>
              </w:rPr>
            </w:r>
            <w:r>
              <w:rPr>
                <w:b/>
                <w:sz w:val="19"/>
              </w:rPr>
              <w:t>High</w:t>
            </w:r>
          </w:p>
        </w:tc>
        <w:tc>
          <w:tcPr>
            <w:tcW w:type="dxa" w:w="3216"/>
          </w:tcPr>
          <w:p>
            <w:r>
              <w:rPr>
                <w:sz w:val="19"/>
              </w:rPr>
            </w:r>
            <w:r>
              <w:rPr>
                <w:sz w:val="19"/>
              </w:rPr>
              <w:t>Confidential, Restricted</w:t>
            </w:r>
          </w:p>
        </w:tc>
        <w:tc>
          <w:tcPr>
            <w:tcW w:type="dxa" w:w="3216"/>
          </w:tcPr>
          <w:p>
            <w:r>
              <w:rPr>
                <w:sz w:val="19"/>
              </w:rPr>
            </w:r>
            <w:r>
              <w:rPr>
                <w:sz w:val="19"/>
              </w:rPr>
              <w:t>Elevated approval for all mutations; prohibited C/D on Restricted</w:t>
            </w:r>
          </w:p>
        </w:tc>
      </w:tr>
    </w:tbl>
    <w:p/>
    <w:p>
      <w:r>
        <w:rPr>
          <w:b/>
        </w:rPr>
        <w:t>Key Controls:</w:t>
      </w:r>
    </w:p>
    <w:p>
      <w:pPr>
        <w:pStyle w:val="ListBullet"/>
      </w:pPr>
      <w:r>
        <w:t xml:space="preserve">Continuous monitoring agents: Observer profile with </w:t>
      </w:r>
      <w:r>
        <w:rPr>
          <w:rFonts w:ascii="Courier New" w:hAnsi="Courier New"/>
          <w:sz w:val="19"/>
        </w:rPr>
        <w:t>logged</w:t>
      </w:r>
      <w:r>
        <w:t xml:space="preserve"> autonomy</w:t>
      </w:r>
    </w:p>
    <w:p>
      <w:pPr>
        <w:pStyle w:val="ListBullet"/>
      </w:pPr>
      <w:r>
        <w:t xml:space="preserve">Configuration management agents: Operations profile with </w:t>
      </w:r>
      <w:r>
        <w:rPr>
          <w:rFonts w:ascii="Courier New" w:hAnsi="Courier New"/>
          <w:sz w:val="19"/>
        </w:rPr>
        <w:t>approval</w:t>
      </w:r>
      <w:r>
        <w:t xml:space="preserve"> for changes</w:t>
      </w:r>
    </w:p>
    <w:p>
      <w:pPr>
        <w:pStyle w:val="ListBullet"/>
      </w:pPr>
      <w:r>
        <w:t xml:space="preserve">All profiles must include </w:t>
      </w:r>
      <w:r>
        <w:rPr>
          <w:rFonts w:ascii="Courier New" w:hAnsi="Courier New"/>
          <w:sz w:val="19"/>
        </w:rPr>
        <w:t>compliance_tags: ["FedRAMP"]</w:t>
      </w:r>
      <w:r>
        <w:t xml:space="preserve"> in audit_requirements</w:t>
      </w:r>
    </w:p>
    <w:p>
      <w:pPr>
        <w:pStyle w:val="ListBullet"/>
      </w:pPr>
      <w:r>
        <w:t>Immutable logging required for High impact systems</w:t>
      </w:r>
    </w:p>
    <w:p>
      <w:pPr>
        <w:pStyle w:val="Heading3"/>
      </w:pPr>
      <w:r>
        <w:t>NIST Cybersecurity Framework (NIST CSF)</w:t>
      </w:r>
    </w:p>
    <w:p>
      <w:r>
        <w:t>The NIST Cybersecurity Framework provides a policy framework of computer security guidance for organizations to assess and improve their ability to prevent, detect, and respond to cyber attacks.</w:t>
      </w:r>
    </w:p>
    <w:p>
      <w:r>
        <w:rPr>
          <w:b/>
        </w:rPr>
        <w:t>RMACD Mapping to CSF Core Functions: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CSF Function</w:t>
            </w:r>
          </w:p>
        </w:tc>
        <w:tc>
          <w:tcPr>
            <w:tcW w:type="dxa" w:w="3216"/>
          </w:tcPr>
          <w:p>
            <w:r>
              <w:rPr>
                <w:b/>
                <w:sz w:val="19"/>
              </w:rPr>
            </w:r>
            <w:r>
              <w:rPr>
                <w:b/>
                <w:sz w:val="19"/>
              </w:rPr>
              <w:t>CSF Category</w:t>
            </w:r>
          </w:p>
        </w:tc>
        <w:tc>
          <w:tcPr>
            <w:tcW w:type="dxa" w:w="3216"/>
          </w:tcPr>
          <w:p>
            <w:r>
              <w:rPr>
                <w:b/>
                <w:sz w:val="19"/>
              </w:rPr>
            </w:r>
            <w:r>
              <w:rPr>
                <w:b/>
                <w:sz w:val="19"/>
              </w:rPr>
              <w:t>RMACD Implementation</w:t>
            </w:r>
          </w:p>
        </w:tc>
      </w:tr>
      <w:tr>
        <w:tc>
          <w:tcPr>
            <w:tcW w:type="dxa" w:w="3216"/>
          </w:tcPr>
          <w:p>
            <w:r>
              <w:rPr>
                <w:sz w:val="19"/>
              </w:rPr>
            </w:r>
            <w:r>
              <w:rPr>
                <w:b/>
                <w:sz w:val="19"/>
              </w:rPr>
              <w:t>IDENTIFY</w:t>
            </w:r>
          </w:p>
        </w:tc>
        <w:tc>
          <w:tcPr>
            <w:tcW w:type="dxa" w:w="3216"/>
          </w:tcPr>
          <w:p>
            <w:r>
              <w:rPr>
                <w:sz w:val="19"/>
              </w:rPr>
            </w:r>
            <w:r>
              <w:rPr>
                <w:sz w:val="19"/>
              </w:rPr>
              <w:t>Asset Management</w:t>
            </w:r>
          </w:p>
        </w:tc>
        <w:tc>
          <w:tcPr>
            <w:tcW w:type="dxa" w:w="3216"/>
          </w:tcPr>
          <w:p>
            <w:r>
              <w:rPr>
                <w:sz w:val="19"/>
              </w:rPr>
            </w:r>
            <w:r>
              <w:rPr>
                <w:sz w:val="19"/>
              </w:rPr>
              <w:t>Profiles define agent-asset relationships; data classification aligns with asset inventory</w:t>
            </w:r>
          </w:p>
        </w:tc>
      </w:tr>
      <w:tr>
        <w:tc>
          <w:tcPr>
            <w:tcW w:type="dxa" w:w="3216"/>
          </w:tcPr>
          <w:p>
            <w:r>
              <w:rPr>
                <w:sz w:val="19"/>
              </w:rPr>
            </w:r>
            <w:r>
              <w:rPr>
                <w:b/>
                <w:sz w:val="19"/>
              </w:rPr>
              <w:t>IDENTIFY</w:t>
            </w:r>
          </w:p>
        </w:tc>
        <w:tc>
          <w:tcPr>
            <w:tcW w:type="dxa" w:w="3216"/>
          </w:tcPr>
          <w:p>
            <w:r>
              <w:rPr>
                <w:sz w:val="19"/>
              </w:rPr>
            </w:r>
            <w:r>
              <w:rPr>
                <w:sz w:val="19"/>
              </w:rPr>
              <w:t>Risk Assessment</w:t>
            </w:r>
          </w:p>
        </w:tc>
        <w:tc>
          <w:tcPr>
            <w:tcW w:type="dxa" w:w="3216"/>
          </w:tcPr>
          <w:p>
            <w:r>
              <w:rPr>
                <w:sz w:val="19"/>
              </w:rPr>
            </w:r>
            <w:r>
              <w:rPr>
                <w:sz w:val="19"/>
              </w:rPr>
              <w:t>Governance matrix codifies risk-based autonomy decisions</w:t>
            </w:r>
          </w:p>
        </w:tc>
      </w:tr>
      <w:tr>
        <w:tc>
          <w:tcPr>
            <w:tcW w:type="dxa" w:w="3216"/>
          </w:tcPr>
          <w:p>
            <w:r>
              <w:rPr>
                <w:sz w:val="19"/>
              </w:rPr>
            </w:r>
            <w:r>
              <w:rPr>
                <w:b/>
                <w:sz w:val="19"/>
              </w:rPr>
              <w:t>PROTECT</w:t>
            </w:r>
          </w:p>
        </w:tc>
        <w:tc>
          <w:tcPr>
            <w:tcW w:type="dxa" w:w="3216"/>
          </w:tcPr>
          <w:p>
            <w:r>
              <w:rPr>
                <w:sz w:val="19"/>
              </w:rPr>
            </w:r>
            <w:r>
              <w:rPr>
                <w:sz w:val="19"/>
              </w:rPr>
              <w:t>Access Control</w:t>
            </w:r>
          </w:p>
        </w:tc>
        <w:tc>
          <w:tcPr>
            <w:tcW w:type="dxa" w:w="3216"/>
          </w:tcPr>
          <w:p>
            <w:r>
              <w:rPr>
                <w:sz w:val="19"/>
              </w:rPr>
            </w:r>
            <w:r>
              <w:rPr>
                <w:sz w:val="19"/>
              </w:rPr>
              <w:t>Three-dimensional model enforces least privilege across operations and data tiers</w:t>
            </w:r>
          </w:p>
        </w:tc>
      </w:tr>
      <w:tr>
        <w:tc>
          <w:tcPr>
            <w:tcW w:type="dxa" w:w="3216"/>
          </w:tcPr>
          <w:p>
            <w:r>
              <w:rPr>
                <w:sz w:val="19"/>
              </w:rPr>
            </w:r>
            <w:r>
              <w:rPr>
                <w:b/>
                <w:sz w:val="19"/>
              </w:rPr>
              <w:t>PROTECT</w:t>
            </w:r>
          </w:p>
        </w:tc>
        <w:tc>
          <w:tcPr>
            <w:tcW w:type="dxa" w:w="3216"/>
          </w:tcPr>
          <w:p>
            <w:r>
              <w:rPr>
                <w:sz w:val="19"/>
              </w:rPr>
            </w:r>
            <w:r>
              <w:rPr>
                <w:sz w:val="19"/>
              </w:rPr>
              <w:t>Data Security</w:t>
            </w:r>
          </w:p>
        </w:tc>
        <w:tc>
          <w:tcPr>
            <w:tcW w:type="dxa" w:w="3216"/>
          </w:tcPr>
          <w:p>
            <w:r>
              <w:rPr>
                <w:sz w:val="19"/>
              </w:rPr>
            </w:r>
            <w:r>
              <w:rPr>
                <w:sz w:val="19"/>
              </w:rPr>
              <w:t>PICR classification directly maps to data security requirements</w:t>
            </w:r>
          </w:p>
        </w:tc>
      </w:tr>
      <w:tr>
        <w:tc>
          <w:tcPr>
            <w:tcW w:type="dxa" w:w="3216"/>
          </w:tcPr>
          <w:p>
            <w:r>
              <w:rPr>
                <w:sz w:val="19"/>
              </w:rPr>
            </w:r>
            <w:r>
              <w:rPr>
                <w:b/>
                <w:sz w:val="19"/>
              </w:rPr>
              <w:t>DETECT</w:t>
            </w:r>
          </w:p>
        </w:tc>
        <w:tc>
          <w:tcPr>
            <w:tcW w:type="dxa" w:w="3216"/>
          </w:tcPr>
          <w:p>
            <w:r>
              <w:rPr>
                <w:sz w:val="19"/>
              </w:rPr>
            </w:r>
            <w:r>
              <w:rPr>
                <w:sz w:val="19"/>
              </w:rPr>
              <w:t>Anomalies and Events</w:t>
            </w:r>
          </w:p>
        </w:tc>
        <w:tc>
          <w:tcPr>
            <w:tcW w:type="dxa" w:w="3216"/>
          </w:tcPr>
          <w:p>
            <w:r>
              <w:rPr>
                <w:sz w:val="19"/>
              </w:rPr>
            </w:r>
            <w:r>
              <w:rPr>
                <w:sz w:val="19"/>
              </w:rPr>
              <w:t>Monitoring profiles with real-time alerts; audit logging enables anomaly detection</w:t>
            </w:r>
          </w:p>
        </w:tc>
      </w:tr>
      <w:tr>
        <w:tc>
          <w:tcPr>
            <w:tcW w:type="dxa" w:w="3216"/>
          </w:tcPr>
          <w:p>
            <w:r>
              <w:rPr>
                <w:sz w:val="19"/>
              </w:rPr>
            </w:r>
            <w:r>
              <w:rPr>
                <w:b/>
                <w:sz w:val="19"/>
              </w:rPr>
              <w:t>DETECT</w:t>
            </w:r>
          </w:p>
        </w:tc>
        <w:tc>
          <w:tcPr>
            <w:tcW w:type="dxa" w:w="3216"/>
          </w:tcPr>
          <w:p>
            <w:r>
              <w:rPr>
                <w:sz w:val="19"/>
              </w:rPr>
            </w:r>
            <w:r>
              <w:rPr>
                <w:sz w:val="19"/>
              </w:rPr>
              <w:t>Continuous Monitoring</w:t>
            </w:r>
          </w:p>
        </w:tc>
        <w:tc>
          <w:tcPr>
            <w:tcW w:type="dxa" w:w="3216"/>
          </w:tcPr>
          <w:p>
            <w:r>
              <w:rPr>
                <w:sz w:val="19"/>
              </w:rPr>
            </w:r>
            <w:r>
              <w:rPr>
                <w:sz w:val="19"/>
              </w:rPr>
              <w:t>Observer profiles enable 24/7 monitoring without mutation risk</w:t>
            </w:r>
          </w:p>
        </w:tc>
      </w:tr>
      <w:tr>
        <w:tc>
          <w:tcPr>
            <w:tcW w:type="dxa" w:w="3216"/>
          </w:tcPr>
          <w:p>
            <w:r>
              <w:rPr>
                <w:sz w:val="19"/>
              </w:rPr>
            </w:r>
            <w:r>
              <w:rPr>
                <w:b/>
                <w:sz w:val="19"/>
              </w:rPr>
              <w:t>RESPOND</w:t>
            </w:r>
          </w:p>
        </w:tc>
        <w:tc>
          <w:tcPr>
            <w:tcW w:type="dxa" w:w="3216"/>
          </w:tcPr>
          <w:p>
            <w:r>
              <w:rPr>
                <w:sz w:val="19"/>
              </w:rPr>
            </w:r>
            <w:r>
              <w:rPr>
                <w:sz w:val="19"/>
              </w:rPr>
              <w:t>Response Planning</w:t>
            </w:r>
          </w:p>
        </w:tc>
        <w:tc>
          <w:tcPr>
            <w:tcW w:type="dxa" w:w="3216"/>
          </w:tcPr>
          <w:p>
            <w:r>
              <w:rPr>
                <w:sz w:val="19"/>
              </w:rPr>
            </w:r>
            <w:r>
              <w:rPr>
                <w:sz w:val="19"/>
              </w:rPr>
              <w:t>Incident Responder profiles with emergency escalation</w:t>
            </w:r>
          </w:p>
        </w:tc>
      </w:tr>
      <w:tr>
        <w:tc>
          <w:tcPr>
            <w:tcW w:type="dxa" w:w="3216"/>
          </w:tcPr>
          <w:p>
            <w:r>
              <w:rPr>
                <w:sz w:val="19"/>
              </w:rPr>
            </w:r>
            <w:r>
              <w:rPr>
                <w:b/>
                <w:sz w:val="19"/>
              </w:rPr>
              <w:t>RESPOND</w:t>
            </w:r>
          </w:p>
        </w:tc>
        <w:tc>
          <w:tcPr>
            <w:tcW w:type="dxa" w:w="3216"/>
          </w:tcPr>
          <w:p>
            <w:r>
              <w:rPr>
                <w:sz w:val="19"/>
              </w:rPr>
            </w:r>
            <w:r>
              <w:rPr>
                <w:sz w:val="19"/>
              </w:rPr>
              <w:t>Mitigation</w:t>
            </w:r>
          </w:p>
        </w:tc>
        <w:tc>
          <w:tcPr>
            <w:tcW w:type="dxa" w:w="3216"/>
          </w:tcPr>
          <w:p>
            <w:r>
              <w:rPr>
                <w:sz w:val="19"/>
              </w:rPr>
            </w:r>
            <w:r>
              <w:rPr>
                <w:sz w:val="19"/>
              </w:rPr>
              <w:t>Move operations enable containment; pre-authorized IR actions</w:t>
            </w:r>
          </w:p>
        </w:tc>
      </w:tr>
      <w:tr>
        <w:tc>
          <w:tcPr>
            <w:tcW w:type="dxa" w:w="3216"/>
          </w:tcPr>
          <w:p>
            <w:r>
              <w:rPr>
                <w:sz w:val="19"/>
              </w:rPr>
            </w:r>
            <w:r>
              <w:rPr>
                <w:b/>
                <w:sz w:val="19"/>
              </w:rPr>
              <w:t>RECOVER</w:t>
            </w:r>
          </w:p>
        </w:tc>
        <w:tc>
          <w:tcPr>
            <w:tcW w:type="dxa" w:w="3216"/>
          </w:tcPr>
          <w:p>
            <w:r>
              <w:rPr>
                <w:sz w:val="19"/>
              </w:rPr>
            </w:r>
            <w:r>
              <w:rPr>
                <w:sz w:val="19"/>
              </w:rPr>
              <w:t>Recovery Planning</w:t>
            </w:r>
          </w:p>
        </w:tc>
        <w:tc>
          <w:tcPr>
            <w:tcW w:type="dxa" w:w="3216"/>
          </w:tcPr>
          <w:p>
            <w:r>
              <w:rPr>
                <w:sz w:val="19"/>
              </w:rPr>
            </w:r>
            <w:r>
              <w:rPr>
                <w:sz w:val="19"/>
              </w:rPr>
              <w:t>Rollback requirements in change_controls; soft-delete grace periods</w:t>
            </w:r>
          </w:p>
        </w:tc>
      </w:tr>
    </w:tbl>
    <w:p/>
    <w:p>
      <w:r>
        <w:rPr>
          <w:b/>
        </w:rPr>
        <w:t>CSF Implementation Tiers: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CSF Tier</w:t>
            </w:r>
          </w:p>
        </w:tc>
        <w:tc>
          <w:tcPr>
            <w:tcW w:type="dxa" w:w="4824"/>
          </w:tcPr>
          <w:p>
            <w:r>
              <w:rPr>
                <w:b/>
                <w:sz w:val="19"/>
              </w:rPr>
            </w:r>
            <w:r>
              <w:rPr>
                <w:b/>
                <w:sz w:val="19"/>
              </w:rPr>
              <w:t>RMACD Maturity</w:t>
            </w:r>
          </w:p>
        </w:tc>
      </w:tr>
      <w:tr>
        <w:tc>
          <w:tcPr>
            <w:tcW w:type="dxa" w:w="4824"/>
          </w:tcPr>
          <w:p>
            <w:r>
              <w:rPr>
                <w:sz w:val="19"/>
              </w:rPr>
            </w:r>
            <w:r>
              <w:rPr>
                <w:b/>
                <w:sz w:val="19"/>
              </w:rPr>
              <w:t>Tier 1 - Partial</w:t>
            </w:r>
          </w:p>
        </w:tc>
        <w:tc>
          <w:tcPr>
            <w:tcW w:type="dxa" w:w="4824"/>
          </w:tcPr>
          <w:p>
            <w:r>
              <w:rPr>
                <w:sz w:val="19"/>
              </w:rPr>
            </w:r>
            <w:r>
              <w:rPr>
                <w:sz w:val="19"/>
              </w:rPr>
              <w:t>Basic 2D profiles; manual approval workflows</w:t>
            </w:r>
          </w:p>
        </w:tc>
      </w:tr>
      <w:tr>
        <w:tc>
          <w:tcPr>
            <w:tcW w:type="dxa" w:w="4824"/>
          </w:tcPr>
          <w:p>
            <w:r>
              <w:rPr>
                <w:sz w:val="19"/>
              </w:rPr>
            </w:r>
            <w:r>
              <w:rPr>
                <w:b/>
                <w:sz w:val="19"/>
              </w:rPr>
              <w:t>Tier 2 - Risk Informed</w:t>
            </w:r>
          </w:p>
        </w:tc>
        <w:tc>
          <w:tcPr>
            <w:tcW w:type="dxa" w:w="4824"/>
          </w:tcPr>
          <w:p>
            <w:r>
              <w:rPr>
                <w:sz w:val="19"/>
              </w:rPr>
            </w:r>
            <w:r>
              <w:rPr>
                <w:sz w:val="19"/>
              </w:rPr>
              <w:t>3D profiles with data classification; documented governance matrix</w:t>
            </w:r>
          </w:p>
        </w:tc>
      </w:tr>
      <w:tr>
        <w:tc>
          <w:tcPr>
            <w:tcW w:type="dxa" w:w="4824"/>
          </w:tcPr>
          <w:p>
            <w:r>
              <w:rPr>
                <w:sz w:val="19"/>
              </w:rPr>
            </w:r>
            <w:r>
              <w:rPr>
                <w:b/>
                <w:sz w:val="19"/>
              </w:rPr>
              <w:t>Tier 3 - Repeatable</w:t>
            </w:r>
          </w:p>
        </w:tc>
        <w:tc>
          <w:tcPr>
            <w:tcW w:type="dxa" w:w="4824"/>
          </w:tcPr>
          <w:p>
            <w:r>
              <w:rPr>
                <w:sz w:val="19"/>
              </w:rPr>
            </w:r>
            <w:r>
              <w:rPr>
                <w:sz w:val="19"/>
              </w:rPr>
              <w:t>Automated policy enforcement; integrated approval workflows; audit logging</w:t>
            </w:r>
          </w:p>
        </w:tc>
      </w:tr>
      <w:tr>
        <w:tc>
          <w:tcPr>
            <w:tcW w:type="dxa" w:w="4824"/>
          </w:tcPr>
          <w:p>
            <w:r>
              <w:rPr>
                <w:sz w:val="19"/>
              </w:rPr>
            </w:r>
            <w:r>
              <w:rPr>
                <w:b/>
                <w:sz w:val="19"/>
              </w:rPr>
              <w:t>Tier 4 - Adaptive</w:t>
            </w:r>
          </w:p>
        </w:tc>
        <w:tc>
          <w:tcPr>
            <w:tcW w:type="dxa" w:w="4824"/>
          </w:tcPr>
          <w:p>
            <w:r>
              <w:rPr>
                <w:sz w:val="19"/>
              </w:rPr>
            </w:r>
            <w:r>
              <w:rPr>
                <w:sz w:val="19"/>
              </w:rPr>
              <w:t>Continuous monitoring; graduated autonomy based on behavior; automated incident response</w:t>
            </w:r>
          </w:p>
        </w:tc>
      </w:tr>
    </w:tbl>
    <w:p/>
    <w:p>
      <w:r>
        <w:rPr>
          <w:b/>
        </w:rPr>
        <w:t>Key Controls:</w:t>
      </w:r>
    </w:p>
    <w:p>
      <w:pPr>
        <w:pStyle w:val="ListBullet"/>
      </w:pPr>
      <w:r>
        <w:t>Implement profiles aligned with CSF Protect function categories</w:t>
      </w:r>
    </w:p>
    <w:p>
      <w:pPr>
        <w:pStyle w:val="ListBullet"/>
      </w:pPr>
      <w:r>
        <w:t xml:space="preserve">Use </w:t>
      </w:r>
      <w:r>
        <w:rPr>
          <w:rFonts w:ascii="Courier New" w:hAnsi="Courier New"/>
          <w:sz w:val="19"/>
        </w:rPr>
        <w:t>audit_requirements.compliance_tags: ["NIST-CSF"]</w:t>
      </w:r>
      <w:r>
        <w:t xml:space="preserve"> for framework alignment</w:t>
      </w:r>
    </w:p>
    <w:p>
      <w:pPr>
        <w:pStyle w:val="ListBullet"/>
      </w:pPr>
      <w:r>
        <w:t>Emergency escalation supports CSF Respond function</w:t>
      </w:r>
    </w:p>
    <w:p>
      <w:pPr>
        <w:pStyle w:val="ListBullet"/>
      </w:pPr>
      <w:r>
        <w:t>Monitoring profiles support CSF Detect function</w:t>
      </w:r>
    </w:p>
    <w:p>
      <w:pPr>
        <w:pStyle w:val="Heading2"/>
      </w:pPr>
      <w:r>
        <w:t>10.4 Multi-Regulation Compliance</w:t>
      </w:r>
    </w:p>
    <w:p>
      <w:r>
        <w:t>Organizations subject to multiple regulatory frameworks should:</w:t>
      </w:r>
    </w:p>
    <w:p>
      <w:pPr>
        <w:pStyle w:val="ListNumber"/>
      </w:pPr>
      <w:r>
        <w:rPr>
          <w:b/>
        </w:rPr>
        <w:t>Identify overlapping requirements</w:t>
      </w:r>
      <w:r>
        <w:t xml:space="preserve"> - Map each regulation to RMACD dimensions</w:t>
      </w:r>
    </w:p>
    <w:p>
      <w:pPr>
        <w:pStyle w:val="ListNumber"/>
      </w:pPr>
      <w:r>
        <w:rPr>
          <w:b/>
        </w:rPr>
        <w:t>Apply the most restrictive control</w:t>
      </w:r>
      <w:r>
        <w:t xml:space="preserve"> - When regulations conflict, use the stricter autonomy level</w:t>
      </w:r>
    </w:p>
    <w:p>
      <w:pPr>
        <w:pStyle w:val="ListNumber"/>
      </w:pPr>
      <w:r>
        <w:rPr>
          <w:b/>
        </w:rPr>
        <w:t>Maintain unified audit trails</w:t>
      </w:r>
      <w:r>
        <w:t xml:space="preserve"> - Configure </w:t>
      </w:r>
      <w:r>
        <w:rPr>
          <w:rFonts w:ascii="Courier New" w:hAnsi="Courier New"/>
          <w:sz w:val="19"/>
        </w:rPr>
        <w:t>compliance_tags</w:t>
      </w:r>
      <w:r>
        <w:t xml:space="preserve"> array with all applicable frameworks</w:t>
      </w:r>
    </w:p>
    <w:p>
      <w:pPr>
        <w:pStyle w:val="ListNumber"/>
      </w:pPr>
      <w:r>
        <w:rPr>
          <w:b/>
        </w:rPr>
        <w:t>Document compliance mapping</w:t>
      </w:r>
      <w:r>
        <w:t xml:space="preserve"> - Create organization-specific crosswalk between regulations and profiles</w:t>
      </w:r>
    </w:p>
    <w:p>
      <w:r>
        <w:rPr>
          <w:b/>
        </w:rPr>
        <w:t>Example: Healthcare Organization (HIPAA + SOX + NIST CSF)</w:t>
      </w:r>
    </w:p>
    <w:p>
      <w:pPr>
        <w:spacing w:after="160"/>
        <w:ind w:left="360"/>
      </w:pPr>
      <w:r>
        <w:rPr>
          <w:rFonts w:ascii="Courier New" w:hAnsi="Courier New"/>
          <w:sz w:val="17"/>
        </w:rPr>
        <w:t>{</w:t>
        <w:br/>
      </w:r>
      <w:r>
        <w:rPr>
          <w:rFonts w:ascii="Courier New" w:hAnsi="Courier New"/>
          <w:sz w:val="17"/>
        </w:rPr>
        <w:t xml:space="preserve">  "audit_requirements": {</w:t>
        <w:br/>
      </w:r>
      <w:r>
        <w:rPr>
          <w:rFonts w:ascii="Courier New" w:hAnsi="Courier New"/>
          <w:sz w:val="17"/>
        </w:rPr>
        <w:t xml:space="preserve">    "retention_days": 2555,</w:t>
        <w:br/>
      </w:r>
      <w:r>
        <w:rPr>
          <w:rFonts w:ascii="Courier New" w:hAnsi="Courier New"/>
          <w:sz w:val="17"/>
        </w:rPr>
        <w:t xml:space="preserve">    "immutable_logging": true,</w:t>
        <w:br/>
      </w:r>
      <w:r>
        <w:rPr>
          <w:rFonts w:ascii="Courier New" w:hAnsi="Courier New"/>
          <w:sz w:val="17"/>
        </w:rPr>
        <w:t xml:space="preserve">    "compliance_tags": ["HIPAA", "SOX", "NIST-CSF"],</w:t>
        <w:br/>
      </w:r>
      <w:r>
        <w:rPr>
          <w:rFonts w:ascii="Courier New" w:hAnsi="Courier New"/>
          <w:sz w:val="17"/>
        </w:rPr>
        <w:t xml:space="preserve">    "pii_masking": true</w:t>
        <w:br/>
      </w:r>
      <w:r>
        <w:rPr>
          <w:rFonts w:ascii="Courier New" w:hAnsi="Courier New"/>
          <w:sz w:val="17"/>
        </w:rPr>
        <w:t xml:space="preserve">  }</w:t>
        <w:br/>
      </w:r>
      <w:r>
        <w:rPr>
          <w:rFonts w:ascii="Courier New" w:hAnsi="Courier New"/>
          <w:sz w:val="17"/>
        </w:rPr>
        <w:t>}</w:t>
      </w:r>
    </w:p>
    <w:p>
      <w:pPr>
        <w:pStyle w:val="Heading1"/>
      </w:pPr>
      <w:r>
        <w:t>11. Adoption Roadmap</w:t>
      </w:r>
    </w:p>
    <w:p>
      <w:pPr>
        <w:pStyle w:val="Heading2"/>
      </w:pPr>
      <w:r>
        <w:t>11.1 Phase 1: Assessment (Weeks 1-4)</w:t>
      </w:r>
    </w:p>
    <w:p>
      <w:pPr>
        <w:pStyle w:val="ListBullet"/>
      </w:pPr>
      <w:r>
        <w:rPr>
          <w:b/>
        </w:rPr>
        <w:t>Inventory existing AI agents:</w:t>
      </w:r>
      <w:r>
        <w:t xml:space="preserve"> Document all deployed agents, their current permissions, and data access patterns</w:t>
      </w:r>
    </w:p>
    <w:p>
      <w:pPr>
        <w:pStyle w:val="ListBullet"/>
      </w:pPr>
      <w:r>
        <w:rPr>
          <w:b/>
        </w:rPr>
        <w:t>Map data classifications:</w:t>
      </w:r>
      <w:r>
        <w:t xml:space="preserve"> Ensure all data stores have current classification labels (Public, Internal, Confidential, Restricted)</w:t>
      </w:r>
    </w:p>
    <w:p>
      <w:pPr>
        <w:pStyle w:val="ListBullet"/>
      </w:pPr>
      <w:r>
        <w:rPr>
          <w:b/>
        </w:rPr>
        <w:t>Identify gaps:</w:t>
      </w:r>
      <w:r>
        <w:t xml:space="preserve"> Compare current agent permissions against the RMACD governance matrix; identify over-permissioned agents</w:t>
      </w:r>
    </w:p>
    <w:p>
      <w:pPr>
        <w:pStyle w:val="ListBullet"/>
      </w:pPr>
      <w:r>
        <w:rPr>
          <w:b/>
        </w:rPr>
        <w:t>Assess HITL capabilities:</w:t>
      </w:r>
      <w:r>
        <w:t xml:space="preserve"> Evaluate existing approval workflow infrastructure and notification systems</w:t>
      </w:r>
    </w:p>
    <w:p>
      <w:pPr>
        <w:pStyle w:val="Heading2"/>
      </w:pPr>
      <w:r>
        <w:t>11.2 Phase 2: Policy Development (Weeks 5-8)</w:t>
      </w:r>
    </w:p>
    <w:p>
      <w:pPr>
        <w:pStyle w:val="ListBullet"/>
      </w:pPr>
      <w:r>
        <w:rPr>
          <w:b/>
        </w:rPr>
        <w:t>Customize the governance matrix:</w:t>
      </w:r>
      <w:r>
        <w:t xml:space="preserve"> Adjust default autonomy levels based on organizational risk tolerance and regulatory requirements</w:t>
      </w:r>
    </w:p>
    <w:p>
      <w:pPr>
        <w:pStyle w:val="ListBullet"/>
      </w:pPr>
      <w:r>
        <w:rPr>
          <w:b/>
        </w:rPr>
        <w:t>Define permission profiles:</w:t>
      </w:r>
      <w:r>
        <w:t xml:space="preserve"> Create agent role templates based on organizational needs</w:t>
      </w:r>
    </w:p>
    <w:p>
      <w:pPr>
        <w:pStyle w:val="ListBullet"/>
      </w:pPr>
      <w:r>
        <w:rPr>
          <w:b/>
        </w:rPr>
        <w:t>Establish approval authorities:</w:t>
      </w:r>
      <w:r>
        <w:t xml:space="preserve"> Map autonomy levels to specific roles and governance bodies</w:t>
      </w:r>
    </w:p>
    <w:p>
      <w:pPr>
        <w:pStyle w:val="ListBullet"/>
      </w:pPr>
      <w:r>
        <w:rPr>
          <w:b/>
        </w:rPr>
        <w:t>Document exception procedures:</w:t>
      </w:r>
      <w:r>
        <w:t xml:space="preserve"> Define processes for handling operations that require elevated permissions</w:t>
      </w:r>
    </w:p>
    <w:p>
      <w:pPr>
        <w:pStyle w:val="Heading2"/>
      </w:pPr>
      <w:r>
        <w:t>11.3 Phase 3: Implementation (Weeks 9-16)</w:t>
      </w:r>
    </w:p>
    <w:p>
      <w:pPr>
        <w:pStyle w:val="ListBullet"/>
      </w:pPr>
      <w:r>
        <w:rPr>
          <w:b/>
        </w:rPr>
        <w:t>Deploy policy enforcement:</w:t>
      </w:r>
      <w:r>
        <w:t xml:space="preserve"> Implement technical controls that enforce RMACD permissions at runtime</w:t>
      </w:r>
    </w:p>
    <w:p>
      <w:pPr>
        <w:pStyle w:val="ListBullet"/>
      </w:pPr>
      <w:r>
        <w:rPr>
          <w:b/>
        </w:rPr>
        <w:t>Configure audit logging:</w:t>
      </w:r>
      <w:r>
        <w:t xml:space="preserve"> Ensure all agent operations are logged with appropriate retention</w:t>
      </w:r>
    </w:p>
    <w:p>
      <w:pPr>
        <w:pStyle w:val="ListBullet"/>
      </w:pPr>
      <w:r>
        <w:rPr>
          <w:b/>
        </w:rPr>
        <w:t>Integrate approval workflows:</w:t>
      </w:r>
      <w:r>
        <w:t xml:space="preserve"> Connect HITL requirements to ticketing, change management, and notification systems</w:t>
      </w:r>
    </w:p>
    <w:p>
      <w:pPr>
        <w:pStyle w:val="ListBullet"/>
      </w:pPr>
      <w:r>
        <w:rPr>
          <w:b/>
        </w:rPr>
        <w:t>Train operations teams:</w:t>
      </w:r>
      <w:r>
        <w:t xml:space="preserve"> Ensure staff understand the RMACD model and their approval responsibilities</w:t>
      </w:r>
    </w:p>
    <w:p>
      <w:pPr>
        <w:pStyle w:val="Heading2"/>
      </w:pPr>
      <w:r>
        <w:t>11.4 Phase 4: Optimization (Ongoing)</w:t>
      </w:r>
    </w:p>
    <w:p>
      <w:pPr>
        <w:pStyle w:val="ListBullet"/>
      </w:pPr>
      <w:r>
        <w:rPr>
          <w:b/>
        </w:rPr>
        <w:t>Monitor and adjust:</w:t>
      </w:r>
      <w:r>
        <w:t xml:space="preserve"> Review agent behavior patterns and adjust permissions based on demonstrated trustworthiness</w:t>
      </w:r>
    </w:p>
    <w:p>
      <w:pPr>
        <w:pStyle w:val="ListBullet"/>
      </w:pPr>
      <w:r>
        <w:rPr>
          <w:b/>
        </w:rPr>
        <w:t>Graduated autonomy expansion:</w:t>
      </w:r>
      <w:r>
        <w:t xml:space="preserve"> Increase permissions for agents that demonstrate reliable behavior</w:t>
      </w:r>
    </w:p>
    <w:p>
      <w:pPr>
        <w:pStyle w:val="ListBullet"/>
      </w:pPr>
      <w:r>
        <w:rPr>
          <w:b/>
        </w:rPr>
        <w:t>Incident analysis:</w:t>
      </w:r>
      <w:r>
        <w:t xml:space="preserve"> Use any agent-related incidents to refine the governance matrix</w:t>
      </w:r>
    </w:p>
    <w:p>
      <w:pPr>
        <w:pStyle w:val="ListBullet"/>
      </w:pPr>
      <w:r>
        <w:rPr>
          <w:b/>
        </w:rPr>
        <w:t>Compliance validation:</w:t>
      </w:r>
      <w:r>
        <w:t xml:space="preserve"> Regular audits to ensure ongoing regulatory alignment</w:t>
      </w:r>
    </w:p>
    <w:p>
      <w:pPr>
        <w:pStyle w:val="Heading1"/>
      </w:pPr>
      <w:r>
        <w:t>12. Exception Handling and Escalation</w:t>
      </w:r>
    </w:p>
    <w:p>
      <w:pPr>
        <w:pStyle w:val="Heading2"/>
      </w:pPr>
      <w:r>
        <w:t>12.1 Overview</w:t>
      </w:r>
    </w:p>
    <w:p>
      <w:r>
        <w:t>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p>
      <w:pPr>
        <w:pStyle w:val="Heading2"/>
      </w:pPr>
      <w:r>
        <w:t>12.2 Exception Categories</w:t>
      </w:r>
    </w:p>
    <w:p>
      <w:r>
        <w:t>RMACD recognizes four categories of exceptions, each with distinct approval requirements and durations: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Category</w:t>
            </w:r>
          </w:p>
        </w:tc>
        <w:tc>
          <w:tcPr>
            <w:tcW w:type="dxa" w:w="1930"/>
          </w:tcPr>
          <w:p>
            <w:r>
              <w:rPr>
                <w:b/>
                <w:sz w:val="19"/>
              </w:rPr>
            </w:r>
            <w:r>
              <w:rPr>
                <w:b/>
                <w:sz w:val="19"/>
              </w:rPr>
              <w:t>Description</w:t>
            </w:r>
          </w:p>
        </w:tc>
        <w:tc>
          <w:tcPr>
            <w:tcW w:type="dxa" w:w="1930"/>
          </w:tcPr>
          <w:p>
            <w:r>
              <w:rPr>
                <w:b/>
                <w:sz w:val="19"/>
              </w:rPr>
            </w:r>
            <w:r>
              <w:rPr>
                <w:b/>
                <w:sz w:val="19"/>
              </w:rPr>
              <w:t>Max Duration</w:t>
            </w:r>
          </w:p>
        </w:tc>
        <w:tc>
          <w:tcPr>
            <w:tcW w:type="dxa" w:w="1930"/>
          </w:tcPr>
          <w:p>
            <w:r>
              <w:rPr>
                <w:b/>
                <w:sz w:val="19"/>
              </w:rPr>
            </w:r>
            <w:r>
              <w:rPr>
                <w:b/>
                <w:sz w:val="19"/>
              </w:rPr>
              <w:t>Approval Authority</w:t>
            </w:r>
          </w:p>
        </w:tc>
        <w:tc>
          <w:tcPr>
            <w:tcW w:type="dxa" w:w="1930"/>
          </w:tcPr>
          <w:p>
            <w:r>
              <w:rPr>
                <w:b/>
                <w:sz w:val="19"/>
              </w:rPr>
            </w:r>
            <w:r>
              <w:rPr>
                <w:b/>
                <w:sz w:val="19"/>
              </w:rPr>
              <w:t>Example</w:t>
            </w:r>
          </w:p>
        </w:tc>
      </w:tr>
      <w:tr>
        <w:tc>
          <w:tcPr>
            <w:tcW w:type="dxa" w:w="1930"/>
          </w:tcPr>
          <w:p>
            <w:r>
              <w:rPr>
                <w:sz w:val="19"/>
              </w:rPr>
            </w:r>
            <w:r>
              <w:rPr>
                <w:b/>
                <w:sz w:val="19"/>
              </w:rPr>
              <w:t>Emergency</w:t>
            </w:r>
          </w:p>
        </w:tc>
        <w:tc>
          <w:tcPr>
            <w:tcW w:type="dxa" w:w="1930"/>
          </w:tcPr>
          <w:p>
            <w:r>
              <w:rPr>
                <w:sz w:val="19"/>
              </w:rPr>
            </w:r>
            <w:r>
              <w:rPr>
                <w:sz w:val="19"/>
              </w:rPr>
              <w:t>Imminent threat to business continuity or security</w:t>
            </w:r>
          </w:p>
        </w:tc>
        <w:tc>
          <w:tcPr>
            <w:tcW w:type="dxa" w:w="1930"/>
          </w:tcPr>
          <w:p>
            <w:r>
              <w:rPr>
                <w:sz w:val="19"/>
              </w:rPr>
            </w:r>
            <w:r>
              <w:rPr>
                <w:sz w:val="19"/>
              </w:rPr>
              <w:t>4 hours</w:t>
            </w:r>
          </w:p>
        </w:tc>
        <w:tc>
          <w:tcPr>
            <w:tcW w:type="dxa" w:w="1930"/>
          </w:tcPr>
          <w:p>
            <w:r>
              <w:rPr>
                <w:sz w:val="19"/>
              </w:rPr>
            </w:r>
            <w:r>
              <w:rPr>
                <w:sz w:val="19"/>
              </w:rPr>
              <w:t>On-call Manager + Security</w:t>
            </w:r>
          </w:p>
        </w:tc>
        <w:tc>
          <w:tcPr>
            <w:tcW w:type="dxa" w:w="1930"/>
          </w:tcPr>
          <w:p>
            <w:r>
              <w:rPr>
                <w:sz w:val="19"/>
              </w:rPr>
            </w:r>
            <w:r>
              <w:rPr>
                <w:sz w:val="19"/>
              </w:rPr>
              <w:t>Active security incident requiring immediate containment</w:t>
            </w:r>
          </w:p>
        </w:tc>
      </w:tr>
      <w:tr>
        <w:tc>
          <w:tcPr>
            <w:tcW w:type="dxa" w:w="1930"/>
          </w:tcPr>
          <w:p>
            <w:r>
              <w:rPr>
                <w:sz w:val="19"/>
              </w:rPr>
            </w:r>
            <w:r>
              <w:rPr>
                <w:b/>
                <w:sz w:val="19"/>
              </w:rPr>
              <w:t>Urgent</w:t>
            </w:r>
          </w:p>
        </w:tc>
        <w:tc>
          <w:tcPr>
            <w:tcW w:type="dxa" w:w="1930"/>
          </w:tcPr>
          <w:p>
            <w:r>
              <w:rPr>
                <w:sz w:val="19"/>
              </w:rPr>
            </w:r>
            <w:r>
              <w:rPr>
                <w:sz w:val="19"/>
              </w:rPr>
              <w:t>Time-sensitive business requirement</w:t>
            </w:r>
          </w:p>
        </w:tc>
        <w:tc>
          <w:tcPr>
            <w:tcW w:type="dxa" w:w="1930"/>
          </w:tcPr>
          <w:p>
            <w:r>
              <w:rPr>
                <w:sz w:val="19"/>
              </w:rPr>
            </w:r>
            <w:r>
              <w:rPr>
                <w:sz w:val="19"/>
              </w:rPr>
              <w:t>24 hours</w:t>
            </w:r>
          </w:p>
        </w:tc>
        <w:tc>
          <w:tcPr>
            <w:tcW w:type="dxa" w:w="1930"/>
          </w:tcPr>
          <w:p>
            <w:r>
              <w:rPr>
                <w:sz w:val="19"/>
              </w:rPr>
            </w:r>
            <w:r>
              <w:rPr>
                <w:sz w:val="19"/>
              </w:rPr>
              <w:t>Department Head</w:t>
            </w:r>
          </w:p>
        </w:tc>
        <w:tc>
          <w:tcPr>
            <w:tcW w:type="dxa" w:w="1930"/>
          </w:tcPr>
          <w:p>
            <w:r>
              <w:rPr>
                <w:sz w:val="19"/>
              </w:rPr>
            </w:r>
            <w:r>
              <w:rPr>
                <w:sz w:val="19"/>
              </w:rPr>
              <w:t>Critical production fix outside change window</w:t>
            </w:r>
          </w:p>
        </w:tc>
      </w:tr>
      <w:tr>
        <w:tc>
          <w:tcPr>
            <w:tcW w:type="dxa" w:w="1930"/>
          </w:tcPr>
          <w:p>
            <w:r>
              <w:rPr>
                <w:sz w:val="19"/>
              </w:rPr>
            </w:r>
            <w:r>
              <w:rPr>
                <w:b/>
                <w:sz w:val="19"/>
              </w:rPr>
              <w:t>Planned</w:t>
            </w:r>
          </w:p>
        </w:tc>
        <w:tc>
          <w:tcPr>
            <w:tcW w:type="dxa" w:w="1930"/>
          </w:tcPr>
          <w:p>
            <w:r>
              <w:rPr>
                <w:sz w:val="19"/>
              </w:rPr>
            </w:r>
            <w:r>
              <w:rPr>
                <w:sz w:val="19"/>
              </w:rPr>
              <w:t>Scheduled activity requiring elevated permissions</w:t>
            </w:r>
          </w:p>
        </w:tc>
        <w:tc>
          <w:tcPr>
            <w:tcW w:type="dxa" w:w="1930"/>
          </w:tcPr>
          <w:p>
            <w:r>
              <w:rPr>
                <w:sz w:val="19"/>
              </w:rPr>
            </w:r>
            <w:r>
              <w:rPr>
                <w:sz w:val="19"/>
              </w:rPr>
              <w:t>7 days</w:t>
            </w:r>
          </w:p>
        </w:tc>
        <w:tc>
          <w:tcPr>
            <w:tcW w:type="dxa" w:w="1930"/>
          </w:tcPr>
          <w:p>
            <w:r>
              <w:rPr>
                <w:sz w:val="19"/>
              </w:rPr>
            </w:r>
            <w:r>
              <w:rPr>
                <w:sz w:val="19"/>
              </w:rPr>
              <w:t>CAB or Governance Board</w:t>
            </w:r>
          </w:p>
        </w:tc>
        <w:tc>
          <w:tcPr>
            <w:tcW w:type="dxa" w:w="1930"/>
          </w:tcPr>
          <w:p>
            <w:r>
              <w:rPr>
                <w:sz w:val="19"/>
              </w:rPr>
            </w:r>
            <w:r>
              <w:rPr>
                <w:sz w:val="19"/>
              </w:rPr>
              <w:t>Quarterly maintenance, migration projects</w:t>
            </w:r>
          </w:p>
        </w:tc>
      </w:tr>
      <w:tr>
        <w:tc>
          <w:tcPr>
            <w:tcW w:type="dxa" w:w="1930"/>
          </w:tcPr>
          <w:p>
            <w:r>
              <w:rPr>
                <w:sz w:val="19"/>
              </w:rPr>
            </w:r>
            <w:r>
              <w:rPr>
                <w:b/>
                <w:sz w:val="19"/>
              </w:rPr>
              <w:t>Extended</w:t>
            </w:r>
          </w:p>
        </w:tc>
        <w:tc>
          <w:tcPr>
            <w:tcW w:type="dxa" w:w="1930"/>
          </w:tcPr>
          <w:p>
            <w:r>
              <w:rPr>
                <w:sz w:val="19"/>
              </w:rPr>
            </w:r>
            <w:r>
              <w:rPr>
                <w:sz w:val="19"/>
              </w:rPr>
              <w:t>Long-term operational requirement</w:t>
            </w:r>
          </w:p>
        </w:tc>
        <w:tc>
          <w:tcPr>
            <w:tcW w:type="dxa" w:w="1930"/>
          </w:tcPr>
          <w:p>
            <w:r>
              <w:rPr>
                <w:sz w:val="19"/>
              </w:rPr>
            </w:r>
            <w:r>
              <w:rPr>
                <w:sz w:val="19"/>
              </w:rPr>
              <w:t>30 days</w:t>
            </w:r>
          </w:p>
        </w:tc>
        <w:tc>
          <w:tcPr>
            <w:tcW w:type="dxa" w:w="1930"/>
          </w:tcPr>
          <w:p>
            <w:r>
              <w:rPr>
                <w:sz w:val="19"/>
              </w:rPr>
            </w:r>
            <w:r>
              <w:rPr>
                <w:sz w:val="19"/>
              </w:rPr>
              <w:t>CISO + Business Owner</w:t>
            </w:r>
          </w:p>
        </w:tc>
        <w:tc>
          <w:tcPr>
            <w:tcW w:type="dxa" w:w="1930"/>
          </w:tcPr>
          <w:p>
            <w:r>
              <w:rPr>
                <w:sz w:val="19"/>
              </w:rPr>
            </w:r>
            <w:r>
              <w:rPr>
                <w:sz w:val="19"/>
              </w:rPr>
              <w:t>New agent capability pilot program</w:t>
            </w:r>
          </w:p>
        </w:tc>
      </w:tr>
    </w:tbl>
    <w:p/>
    <w:p>
      <w:pPr>
        <w:pStyle w:val="Heading2"/>
      </w:pPr>
      <w:r>
        <w:t>12.3 Exception Request Process</w:t>
      </w:r>
    </w:p>
    <w:p>
      <w:pPr>
        <w:pStyle w:val="Heading3"/>
      </w:pPr>
      <w:r>
        <w:t>Step 1: Request Submission</w:t>
      </w:r>
    </w:p>
    <w:p>
      <w:r>
        <w:t>Exception requests must include:</w:t>
      </w:r>
    </w:p>
    <w:p>
      <w:pPr>
        <w:pStyle w:val="ListBullet"/>
      </w:pPr>
      <w:r>
        <w:rPr>
          <w:b/>
        </w:rPr>
        <w:t>Requesting agent identifier</w:t>
      </w:r>
      <w:r>
        <w:t xml:space="preserve"> and current profile</w:t>
      </w:r>
    </w:p>
    <w:p>
      <w:pPr>
        <w:pStyle w:val="ListBullet"/>
      </w:pPr>
      <w:r>
        <w:rPr>
          <w:b/>
        </w:rPr>
        <w:t>Requested permissions</w:t>
      </w:r>
      <w:r>
        <w:t xml:space="preserve"> (specific RMACD operations and data classifications)</w:t>
      </w:r>
    </w:p>
    <w:p>
      <w:pPr>
        <w:pStyle w:val="ListBullet"/>
      </w:pPr>
      <w:r>
        <w:rPr>
          <w:b/>
        </w:rPr>
        <w:t>Business justification</w:t>
      </w:r>
      <w:r>
        <w:t xml:space="preserve"> with impact assessment</w:t>
      </w:r>
    </w:p>
    <w:p>
      <w:pPr>
        <w:pStyle w:val="ListBullet"/>
      </w:pPr>
      <w:r>
        <w:rPr>
          <w:b/>
        </w:rPr>
        <w:t>Duration requested</w:t>
      </w:r>
      <w:r>
        <w:t xml:space="preserve"> with specific start/end timestamps</w:t>
      </w:r>
    </w:p>
    <w:p>
      <w:pPr>
        <w:pStyle w:val="ListBullet"/>
      </w:pPr>
      <w:r>
        <w:rPr>
          <w:b/>
        </w:rPr>
        <w:t>Rollback plan</w:t>
      </w:r>
      <w:r>
        <w:t xml:space="preserve"> if exception causes issues</w:t>
      </w:r>
    </w:p>
    <w:p>
      <w:pPr>
        <w:pStyle w:val="ListBullet"/>
      </w:pPr>
      <w:r>
        <w:rPr>
          <w:b/>
        </w:rPr>
        <w:t>Monitoring commitments</w:t>
      </w:r>
      <w:r>
        <w:t xml:space="preserve"> during exception period</w:t>
      </w:r>
    </w:p>
    <w:p>
      <w:pPr>
        <w:pStyle w:val="Heading3"/>
      </w:pPr>
      <w:r>
        <w:t>Step 2: Risk Assessment</w:t>
      </w:r>
    </w:p>
    <w:p>
      <w:r>
        <w:t>The approving authority must evaluate:</w:t>
      </w:r>
    </w:p>
    <w:p>
      <w:pPr>
        <w:pStyle w:val="ListBullet"/>
      </w:pPr>
      <w:r>
        <w:rPr>
          <w:b/>
        </w:rPr>
        <w:t>Necessity</w:t>
      </w:r>
      <w:r>
        <w:t>: Can the objective be achieved within current permissions?</w:t>
      </w:r>
    </w:p>
    <w:p>
      <w:pPr>
        <w:pStyle w:val="ListBullet"/>
      </w:pPr>
      <w:r>
        <w:rPr>
          <w:b/>
        </w:rPr>
        <w:t>Scope</w:t>
      </w:r>
      <w:r>
        <w:t>: Is the request minimally scoped to achieve the objective?</w:t>
      </w:r>
    </w:p>
    <w:p>
      <w:pPr>
        <w:pStyle w:val="ListBullet"/>
      </w:pPr>
      <w:r>
        <w:rPr>
          <w:b/>
        </w:rPr>
        <w:t>Duration</w:t>
      </w:r>
      <w:r>
        <w:t>: Is the requested timeframe appropriate?</w:t>
      </w:r>
    </w:p>
    <w:p>
      <w:pPr>
        <w:pStyle w:val="ListBullet"/>
      </w:pPr>
      <w:r>
        <w:rPr>
          <w:b/>
        </w:rPr>
        <w:t>Compensating controls</w:t>
      </w:r>
      <w:r>
        <w:t>: What additional monitoring or restrictions apply?</w:t>
      </w:r>
    </w:p>
    <w:p>
      <w:pPr>
        <w:pStyle w:val="ListBullet"/>
      </w:pPr>
      <w:r>
        <w:rPr>
          <w:b/>
        </w:rPr>
        <w:t>Precedent</w:t>
      </w:r>
      <w:r>
        <w:t>: Does this indicate a need for permanent profile adjustment?</w:t>
      </w:r>
    </w:p>
    <w:p>
      <w:pPr>
        <w:pStyle w:val="Heading3"/>
      </w:pPr>
      <w:r>
        <w:t>Step 3: Approval Decision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Decision</w:t>
            </w:r>
          </w:p>
        </w:tc>
        <w:tc>
          <w:tcPr>
            <w:tcW w:type="dxa" w:w="4824"/>
          </w:tcPr>
          <w:p>
            <w:r>
              <w:rPr>
                <w:b/>
                <w:sz w:val="19"/>
              </w:rPr>
            </w:r>
            <w:r>
              <w:rPr>
                <w:b/>
                <w:sz w:val="19"/>
              </w:rPr>
              <w:t>Action</w:t>
            </w:r>
          </w:p>
        </w:tc>
      </w:tr>
      <w:tr>
        <w:tc>
          <w:tcPr>
            <w:tcW w:type="dxa" w:w="4824"/>
          </w:tcPr>
          <w:p>
            <w:r>
              <w:rPr>
                <w:sz w:val="19"/>
              </w:rPr>
            </w:r>
            <w:r>
              <w:rPr>
                <w:b/>
                <w:sz w:val="19"/>
              </w:rPr>
              <w:t>Approved</w:t>
            </w:r>
          </w:p>
        </w:tc>
        <w:tc>
          <w:tcPr>
            <w:tcW w:type="dxa" w:w="4824"/>
          </w:tcPr>
          <w:p>
            <w:r>
              <w:rPr>
                <w:sz w:val="19"/>
              </w:rPr>
            </w:r>
            <w:r>
              <w:rPr>
                <w:sz w:val="19"/>
              </w:rPr>
              <w:t>Exception profile activated with automatic expiration</w:t>
            </w:r>
          </w:p>
        </w:tc>
      </w:tr>
      <w:tr>
        <w:tc>
          <w:tcPr>
            <w:tcW w:type="dxa" w:w="4824"/>
          </w:tcPr>
          <w:p>
            <w:r>
              <w:rPr>
                <w:sz w:val="19"/>
              </w:rPr>
            </w:r>
            <w:r>
              <w:rPr>
                <w:b/>
                <w:sz w:val="19"/>
              </w:rPr>
              <w:t>Approved with Modifications</w:t>
            </w:r>
          </w:p>
        </w:tc>
        <w:tc>
          <w:tcPr>
            <w:tcW w:type="dxa" w:w="4824"/>
          </w:tcPr>
          <w:p>
            <w:r>
              <w:rPr>
                <w:sz w:val="19"/>
              </w:rPr>
            </w:r>
            <w:r>
              <w:rPr>
                <w:sz w:val="19"/>
              </w:rPr>
              <w:t>Reduced scope/duration granted</w:t>
            </w:r>
          </w:p>
        </w:tc>
      </w:tr>
      <w:tr>
        <w:tc>
          <w:tcPr>
            <w:tcW w:type="dxa" w:w="4824"/>
          </w:tcPr>
          <w:p>
            <w:r>
              <w:rPr>
                <w:sz w:val="19"/>
              </w:rPr>
            </w:r>
            <w:r>
              <w:rPr>
                <w:b/>
                <w:sz w:val="19"/>
              </w:rPr>
              <w:t>Deferred</w:t>
            </w:r>
          </w:p>
        </w:tc>
        <w:tc>
          <w:tcPr>
            <w:tcW w:type="dxa" w:w="4824"/>
          </w:tcPr>
          <w:p>
            <w:r>
              <w:rPr>
                <w:sz w:val="19"/>
              </w:rPr>
            </w:r>
            <w:r>
              <w:rPr>
                <w:sz w:val="19"/>
              </w:rPr>
              <w:t>Additional information required</w:t>
            </w:r>
          </w:p>
        </w:tc>
      </w:tr>
      <w:tr>
        <w:tc>
          <w:tcPr>
            <w:tcW w:type="dxa" w:w="4824"/>
          </w:tcPr>
          <w:p>
            <w:r>
              <w:rPr>
                <w:sz w:val="19"/>
              </w:rPr>
            </w:r>
            <w:r>
              <w:rPr>
                <w:b/>
                <w:sz w:val="19"/>
              </w:rPr>
              <w:t>Denied</w:t>
            </w:r>
          </w:p>
        </w:tc>
        <w:tc>
          <w:tcPr>
            <w:tcW w:type="dxa" w:w="4824"/>
          </w:tcPr>
          <w:p>
            <w:r>
              <w:rPr>
                <w:sz w:val="19"/>
              </w:rPr>
            </w:r>
            <w:r>
              <w:rPr>
                <w:sz w:val="19"/>
              </w:rPr>
              <w:t>Justification provided; alternative approach suggested</w:t>
            </w:r>
          </w:p>
        </w:tc>
      </w:tr>
    </w:tbl>
    <w:p/>
    <w:p>
      <w:pPr>
        <w:pStyle w:val="Heading3"/>
      </w:pPr>
      <w:r>
        <w:t>Step 4: Exception Activation</w:t>
      </w:r>
    </w:p>
    <w:p>
      <w:r>
        <w:t>Upon approval:</w:t>
      </w:r>
    </w:p>
    <w:p>
      <w:pPr>
        <w:pStyle w:val="ListNumber"/>
      </w:pPr>
      <w:r>
        <w:t>Exception profile is created with explicit expiration timestamp</w:t>
      </w:r>
    </w:p>
    <w:p>
      <w:pPr>
        <w:pStyle w:val="ListNumber"/>
      </w:pPr>
      <w:r>
        <w:t>Enhanced audit logging is automatically enabled</w:t>
      </w:r>
    </w:p>
    <w:p>
      <w:pPr>
        <w:pStyle w:val="ListNumber"/>
      </w:pPr>
      <w:r>
        <w:t>Notification sent to Security Operations Center (SOC)</w:t>
      </w:r>
    </w:p>
    <w:p>
      <w:pPr>
        <w:pStyle w:val="ListNumber"/>
      </w:pPr>
      <w:r>
        <w:t>Monitoring dashboard updated with active exception indicator</w:t>
      </w:r>
    </w:p>
    <w:p>
      <w:pPr>
        <w:pStyle w:val="ListNumber"/>
      </w:pPr>
      <w:r>
        <w:t>Automatic calendar reminder set for exception review</w:t>
      </w:r>
    </w:p>
    <w:p>
      <w:pPr>
        <w:pStyle w:val="Heading3"/>
      </w:pPr>
      <w:r>
        <w:t>Step 5: Exception Closure</w:t>
      </w:r>
    </w:p>
    <w:p>
      <w:r>
        <w:t>At expiration or upon completion:</w:t>
      </w:r>
    </w:p>
    <w:p>
      <w:pPr>
        <w:pStyle w:val="ListNumber"/>
      </w:pPr>
      <w:r>
        <w:t>Exception permissions automatically revoked</w:t>
      </w:r>
    </w:p>
    <w:p>
      <w:pPr>
        <w:pStyle w:val="ListNumber"/>
      </w:pPr>
      <w:r>
        <w:t>Post-exception audit report generated</w:t>
      </w:r>
    </w:p>
    <w:p>
      <w:pPr>
        <w:pStyle w:val="ListNumber"/>
      </w:pPr>
      <w:r>
        <w:t>Review conducted: Was exception necessary? Were boundaries respected?</w:t>
      </w:r>
    </w:p>
    <w:p>
      <w:pPr>
        <w:pStyle w:val="ListNumber"/>
      </w:pPr>
      <w:r>
        <w:t>Recommendation made: Close, extend, or convert to permanent profile change</w:t>
      </w:r>
    </w:p>
    <w:p>
      <w:pPr>
        <w:pStyle w:val="Heading2"/>
      </w:pPr>
      <w:r>
        <w:t>12.4 Exception Profile Template</w:t>
      </w:r>
    </w:p>
    <w:p>
      <w:pPr>
        <w:spacing w:after="160"/>
        <w:ind w:left="360"/>
      </w:pPr>
      <w:r>
        <w:rPr>
          <w:rFonts w:ascii="Courier New" w:hAnsi="Courier New"/>
          <w:sz w:val="17"/>
        </w:rPr>
        <w:t>{</w:t>
        <w:br/>
      </w:r>
      <w:r>
        <w:rPr>
          <w:rFonts w:ascii="Courier New" w:hAnsi="Courier New"/>
          <w:sz w:val="17"/>
        </w:rPr>
        <w:t xml:space="preserve">  "$schema": "https://rmacd-framework.org/schema/v1/exception.json",</w:t>
        <w:br/>
      </w:r>
      <w:r>
        <w:rPr>
          <w:rFonts w:ascii="Courier New" w:hAnsi="Courier New"/>
          <w:sz w:val="17"/>
        </w:rPr>
        <w:t xml:space="preserve">  "exception_id": "exc-20260115-001",</w:t>
        <w:br/>
      </w:r>
      <w:r>
        <w:rPr>
          <w:rFonts w:ascii="Courier New" w:hAnsi="Courier New"/>
          <w:sz w:val="17"/>
        </w:rPr>
        <w:t xml:space="preserve">  "base_profile_id": "rmacd-3d-observer-v1",</w:t>
        <w:br/>
      </w:r>
      <w:r>
        <w:rPr>
          <w:rFonts w:ascii="Courier New" w:hAnsi="Courier New"/>
          <w:sz w:val="17"/>
        </w:rPr>
        <w:t xml:space="preserve">  "exception_category": "urgent",</w:t>
        <w:br/>
      </w:r>
      <w:r>
        <w:rPr>
          <w:rFonts w:ascii="Courier New" w:hAnsi="Courier New"/>
          <w:sz w:val="17"/>
        </w:rPr>
        <w:t xml:space="preserve">  "requested_by": "devops-agent-007",</w:t>
        <w:br/>
      </w:r>
      <w:r>
        <w:rPr>
          <w:rFonts w:ascii="Courier New" w:hAnsi="Courier New"/>
          <w:sz w:val="17"/>
        </w:rPr>
        <w:t xml:space="preserve">  "approved_by": "j.smith@company.com",</w:t>
        <w:br/>
      </w:r>
      <w:r>
        <w:rPr>
          <w:rFonts w:ascii="Courier New" w:hAnsi="Courier New"/>
          <w:sz w:val="17"/>
        </w:rPr>
        <w:t xml:space="preserve">  "approved_at": "2026-01-15T10:30:00Z",</w:t>
        <w:br/>
      </w:r>
      <w:r>
        <w:rPr>
          <w:rFonts w:ascii="Courier New" w:hAnsi="Courier New"/>
          <w:sz w:val="17"/>
        </w:rPr>
        <w:t xml:space="preserve">  "effective_from": "2026-01-15T11:00:00Z",</w:t>
        <w:br/>
      </w:r>
      <w:r>
        <w:rPr>
          <w:rFonts w:ascii="Courier New" w:hAnsi="Courier New"/>
          <w:sz w:val="17"/>
        </w:rPr>
        <w:t xml:space="preserve">  "expires_at": "2026-01-16T11:00:00Z",</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"justification": "Emergency database migration required due to storage failure",</w:t>
        <w:br/>
      </w:r>
      <w:r>
        <w:rPr>
          <w:rFonts w:ascii="Courier New" w:hAnsi="Courier New"/>
          <w:sz w:val="17"/>
        </w:rPr>
        <w:t xml:space="preserve">  "compensating_controls": {</w:t>
        <w:br/>
      </w:r>
      <w:r>
        <w:rPr>
          <w:rFonts w:ascii="Courier New" w:hAnsi="Courier New"/>
          <w:sz w:val="17"/>
        </w:rPr>
        <w:t xml:space="preserve">    "enhanced_logging": true,</w:t>
        <w:br/>
      </w:r>
      <w:r>
        <w:rPr>
          <w:rFonts w:ascii="Courier New" w:hAnsi="Courier New"/>
          <w:sz w:val="17"/>
        </w:rPr>
        <w:t xml:space="preserve">    "real_time_alerts": true,</w:t>
        <w:br/>
      </w:r>
      <w:r>
        <w:rPr>
          <w:rFonts w:ascii="Courier New" w:hAnsi="Courier New"/>
          <w:sz w:val="17"/>
        </w:rPr>
        <w:t xml:space="preserve">    "human_shadow": "dba-team@company.com",</w:t>
        <w:br/>
      </w:r>
      <w:r>
        <w:rPr>
          <w:rFonts w:ascii="Courier New" w:hAnsi="Courier New"/>
          <w:sz w:val="17"/>
        </w:rPr>
        <w:t xml:space="preserve">    "restricted_targets": ["db-prod-migration-*"]</w:t>
        <w:br/>
      </w:r>
      <w:r>
        <w:rPr>
          <w:rFonts w:ascii="Courier New" w:hAnsi="Courier New"/>
          <w:sz w:val="17"/>
        </w:rPr>
        <w:t xml:space="preserve">  },</w:t>
        <w:br/>
      </w:r>
      <w:r>
        <w:rPr>
          <w:rFonts w:ascii="Courier New" w:hAnsi="Courier New"/>
          <w:sz w:val="17"/>
        </w:rPr>
        <w:t xml:space="preserve">  "rollback_plan": "Restore from snapshot db-snap-20260115-pre-migration",</w:t>
        <w:br/>
      </w:r>
      <w:r>
        <w:rPr>
          <w:rFonts w:ascii="Courier New" w:hAnsi="Courier New"/>
          <w:sz w:val="17"/>
        </w:rPr>
        <w:t xml:space="preserve">  "status": "active"</w:t>
        <w:br/>
      </w:r>
      <w:r>
        <w:rPr>
          <w:rFonts w:ascii="Courier New" w:hAnsi="Courier New"/>
          <w:sz w:val="17"/>
        </w:rPr>
        <w:t>}</w:t>
      </w:r>
    </w:p>
    <w:p>
      <w:pPr>
        <w:pStyle w:val="Heading2"/>
      </w:pPr>
      <w:r>
        <w:t>12.5 Prohibited Exceptions</w:t>
      </w:r>
    </w:p>
    <w:p>
      <w:r>
        <w:t xml:space="preserve">Certain permission escalations are </w:t>
      </w:r>
      <w:r>
        <w:rPr>
          <w:b/>
        </w:rPr>
        <w:t>never</w:t>
      </w:r>
      <w:r>
        <w:t xml:space="preserve"> granted through the exception process: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Prohibition</w:t>
            </w:r>
          </w:p>
        </w:tc>
        <w:tc>
          <w:tcPr>
            <w:tcW w:type="dxa" w:w="4824"/>
          </w:tcPr>
          <w:p>
            <w:r>
              <w:rPr>
                <w:b/>
                <w:sz w:val="19"/>
              </w:rPr>
            </w:r>
            <w:r>
              <w:rPr>
                <w:b/>
                <w:sz w:val="19"/>
              </w:rPr>
              <w:t>Rationale</w:t>
            </w:r>
          </w:p>
        </w:tc>
      </w:tr>
      <w:tr>
        <w:tc>
          <w:tcPr>
            <w:tcW w:type="dxa" w:w="4824"/>
          </w:tcPr>
          <w:p>
            <w:r>
              <w:rPr>
                <w:sz w:val="19"/>
              </w:rPr>
            </w:r>
            <w:r>
              <w:rPr>
                <w:sz w:val="19"/>
              </w:rPr>
              <w:t>Change or Delete on Restricted data</w:t>
            </w:r>
          </w:p>
        </w:tc>
        <w:tc>
          <w:tcPr>
            <w:tcW w:type="dxa" w:w="4824"/>
          </w:tcPr>
          <w:p>
            <w:r>
              <w:rPr>
                <w:sz w:val="19"/>
              </w:rPr>
            </w:r>
            <w:r>
              <w:rPr>
                <w:sz w:val="19"/>
              </w:rPr>
              <w:t>Fundamental safety boundary; requires human execution</w:t>
            </w:r>
          </w:p>
        </w:tc>
      </w:tr>
      <w:tr>
        <w:tc>
          <w:tcPr>
            <w:tcW w:type="dxa" w:w="4824"/>
          </w:tcPr>
          <w:p>
            <w:r>
              <w:rPr>
                <w:sz w:val="19"/>
              </w:rPr>
            </w:r>
            <w:r>
              <w:rPr>
                <w:sz w:val="19"/>
              </w:rPr>
              <w:t>Removal of audit logging</w:t>
            </w:r>
          </w:p>
        </w:tc>
        <w:tc>
          <w:tcPr>
            <w:tcW w:type="dxa" w:w="4824"/>
          </w:tcPr>
          <w:p>
            <w:r>
              <w:rPr>
                <w:sz w:val="19"/>
              </w:rPr>
            </w:r>
            <w:r>
              <w:rPr>
                <w:sz w:val="19"/>
              </w:rPr>
              <w:t>Compliance and forensic requirements are non-negotiable</w:t>
            </w:r>
          </w:p>
        </w:tc>
      </w:tr>
      <w:tr>
        <w:tc>
          <w:tcPr>
            <w:tcW w:type="dxa" w:w="4824"/>
          </w:tcPr>
          <w:p>
            <w:r>
              <w:rPr>
                <w:sz w:val="19"/>
              </w:rPr>
            </w:r>
            <w:r>
              <w:rPr>
                <w:sz w:val="19"/>
              </w:rPr>
              <w:t>Cross-environment exceptions (prod profile in dev)</w:t>
            </w:r>
          </w:p>
        </w:tc>
        <w:tc>
          <w:tcPr>
            <w:tcW w:type="dxa" w:w="4824"/>
          </w:tcPr>
          <w:p>
            <w:r>
              <w:rPr>
                <w:sz w:val="19"/>
              </w:rPr>
            </w:r>
            <w:r>
              <w:rPr>
                <w:sz w:val="19"/>
              </w:rPr>
              <w:t>Environment isolation must be maintained</w:t>
            </w:r>
          </w:p>
        </w:tc>
      </w:tr>
      <w:tr>
        <w:tc>
          <w:tcPr>
            <w:tcW w:type="dxa" w:w="4824"/>
          </w:tcPr>
          <w:p>
            <w:r>
              <w:rPr>
                <w:sz w:val="19"/>
              </w:rPr>
            </w:r>
            <w:r>
              <w:rPr>
                <w:sz w:val="19"/>
              </w:rPr>
              <w:t>Indefinite or open-ended duration</w:t>
            </w:r>
          </w:p>
        </w:tc>
        <w:tc>
          <w:tcPr>
            <w:tcW w:type="dxa" w:w="4824"/>
          </w:tcPr>
          <w:p>
            <w:r>
              <w:rPr>
                <w:sz w:val="19"/>
              </w:rPr>
            </w:r>
            <w:r>
              <w:rPr>
                <w:sz w:val="19"/>
              </w:rPr>
              <w:t>All exceptions must have explicit expiration</w:t>
            </w:r>
          </w:p>
        </w:tc>
      </w:tr>
      <w:tr>
        <w:tc>
          <w:tcPr>
            <w:tcW w:type="dxa" w:w="4824"/>
          </w:tcPr>
          <w:p>
            <w:r>
              <w:rPr>
                <w:sz w:val="19"/>
              </w:rPr>
            </w:r>
            <w:r>
              <w:rPr>
                <w:sz w:val="19"/>
              </w:rPr>
              <w:t>Blanket "all operations" grants</w:t>
            </w:r>
          </w:p>
        </w:tc>
        <w:tc>
          <w:tcPr>
            <w:tcW w:type="dxa" w:w="4824"/>
          </w:tcPr>
          <w:p>
            <w:r>
              <w:rPr>
                <w:sz w:val="19"/>
              </w:rPr>
            </w:r>
            <w:r>
              <w:rPr>
                <w:sz w:val="19"/>
              </w:rPr>
              <w:t>Exceptions must be specifically scoped</w:t>
            </w:r>
          </w:p>
        </w:tc>
      </w:tr>
    </w:tbl>
    <w:p/>
    <w:p>
      <w:r>
        <w:t>For these scenarios, the operation must be performed by a human operator with appropriate authorization, with the agent potentially preparing or recommending the action.</w:t>
      </w:r>
    </w:p>
    <w:p>
      <w:r>
        <w:rPr>
          <w:b/>
        </w:rPr>
        <w:t>Enforcement (rmacd 0.7.0+):</w:t>
      </w:r>
      <w:r>
        <w:t xml:space="preserve"> The Change/Delete-on-Restricted prohibition — together with Add on Restricted — is enforced mechanically, not merely by convention. </w:t>
      </w:r>
      <w:r>
        <w:rPr>
          <w:rFonts w:ascii="Courier New" w:hAnsi="Courier New"/>
          <w:sz w:val="19"/>
        </w:rPr>
        <w:t>schemas/profile-3d.schema.json</w:t>
      </w:r>
      <w:r>
        <w:t xml:space="preserve"> rejects any profile that lists A, C, or D under </w:t>
      </w:r>
      <w:r>
        <w:rPr>
          <w:rFonts w:ascii="Courier New" w:hAnsi="Courier New"/>
          <w:sz w:val="19"/>
        </w:rPr>
        <w:t>permissions.restricted</w:t>
      </w:r>
      <w:r>
        <w:t xml:space="preserve"> or sets a </w:t>
      </w:r>
      <w:r>
        <w:rPr>
          <w:rFonts w:ascii="Courier New" w:hAnsi="Courier New"/>
          <w:sz w:val="19"/>
        </w:rPr>
        <w:t>restricted.(A|C|D)</w:t>
      </w:r>
      <w:r>
        <w:t xml:space="preserve"> autonomy override to anything other than </w:t>
      </w:r>
      <w:r>
        <w:rPr>
          <w:rFonts w:ascii="Courier New" w:hAnsi="Courier New"/>
          <w:sz w:val="19"/>
        </w:rPr>
        <w:t>prohibited</w:t>
      </w:r>
      <w:r>
        <w:t>. Independently, the SDK evaluator applies an immutable runtime floor (</w:t>
      </w:r>
      <w:r>
        <w:rPr>
          <w:rFonts w:ascii="Courier New" w:hAnsi="Courier New"/>
          <w:sz w:val="19"/>
        </w:rPr>
        <w:t>IMMUTABLE_PROHIBITIONS</w:t>
      </w:r>
      <w:r>
        <w:t xml:space="preserve">) that returns </w:t>
      </w:r>
      <w:r>
        <w:rPr>
          <w:rFonts w:ascii="Courier New" w:hAnsi="Courier New"/>
          <w:sz w:val="19"/>
        </w:rPr>
        <w:t>PROHIBITED</w:t>
      </w:r>
      <w:r>
        <w:t xml:space="preserve"> for these cells before any permission, override, or emergency-escalation path is consulted, so a hand-built or programmatically-constructed profile cannot bypass the boundary even if it sidesteps schema validation.</w:t>
      </w:r>
    </w:p>
    <w:p>
      <w:pPr>
        <w:pStyle w:val="Heading2"/>
      </w:pPr>
      <w:r>
        <w:t>12.6 Exception Metrics and Governance</w:t>
      </w:r>
    </w:p>
    <w:p>
      <w:r>
        <w:t>Organizations should track and review:</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Target</w:t>
            </w:r>
          </w:p>
        </w:tc>
        <w:tc>
          <w:tcPr>
            <w:tcW w:type="dxa" w:w="3216"/>
          </w:tcPr>
          <w:p>
            <w:r>
              <w:rPr>
                <w:b/>
                <w:sz w:val="19"/>
              </w:rPr>
            </w:r>
            <w:r>
              <w:rPr>
                <w:b/>
                <w:sz w:val="19"/>
              </w:rPr>
              <w:t>Action if Exceeded</w:t>
            </w:r>
          </w:p>
        </w:tc>
      </w:tr>
      <w:tr>
        <w:tc>
          <w:tcPr>
            <w:tcW w:type="dxa" w:w="3216"/>
          </w:tcPr>
          <w:p>
            <w:r>
              <w:rPr>
                <w:sz w:val="19"/>
              </w:rPr>
            </w:r>
            <w:r>
              <w:rPr>
                <w:sz w:val="19"/>
              </w:rPr>
              <w:t>Exception frequency per agent</w:t>
            </w:r>
          </w:p>
        </w:tc>
        <w:tc>
          <w:tcPr>
            <w:tcW w:type="dxa" w:w="3216"/>
          </w:tcPr>
          <w:p>
            <w:r>
              <w:rPr>
                <w:sz w:val="19"/>
              </w:rPr>
            </w:r>
            <w:r>
              <w:rPr>
                <w:sz w:val="19"/>
              </w:rPr>
              <w:t>&lt; 2 per month</w:t>
            </w:r>
          </w:p>
        </w:tc>
        <w:tc>
          <w:tcPr>
            <w:tcW w:type="dxa" w:w="3216"/>
          </w:tcPr>
          <w:p>
            <w:r>
              <w:rPr>
                <w:sz w:val="19"/>
              </w:rPr>
            </w:r>
            <w:r>
              <w:rPr>
                <w:sz w:val="19"/>
              </w:rPr>
              <w:t>Review if profile needs permanent adjustment</w:t>
            </w:r>
          </w:p>
        </w:tc>
      </w:tr>
      <w:tr>
        <w:tc>
          <w:tcPr>
            <w:tcW w:type="dxa" w:w="3216"/>
          </w:tcPr>
          <w:p>
            <w:r>
              <w:rPr>
                <w:sz w:val="19"/>
              </w:rPr>
            </w:r>
            <w:r>
              <w:rPr>
                <w:sz w:val="19"/>
              </w:rPr>
              <w:t>Average exception duration</w:t>
            </w:r>
          </w:p>
        </w:tc>
        <w:tc>
          <w:tcPr>
            <w:tcW w:type="dxa" w:w="3216"/>
          </w:tcPr>
          <w:p>
            <w:r>
              <w:rPr>
                <w:sz w:val="19"/>
              </w:rPr>
            </w:r>
            <w:r>
              <w:rPr>
                <w:sz w:val="19"/>
              </w:rPr>
              <w:t>&lt; 24 hours</w:t>
            </w:r>
          </w:p>
        </w:tc>
        <w:tc>
          <w:tcPr>
            <w:tcW w:type="dxa" w:w="3216"/>
          </w:tcPr>
          <w:p>
            <w:r>
              <w:rPr>
                <w:sz w:val="19"/>
              </w:rPr>
            </w:r>
            <w:r>
              <w:rPr>
                <w:sz w:val="19"/>
              </w:rPr>
              <w:t>Investigate extended exceptions</w:t>
            </w:r>
          </w:p>
        </w:tc>
      </w:tr>
      <w:tr>
        <w:tc>
          <w:tcPr>
            <w:tcW w:type="dxa" w:w="3216"/>
          </w:tcPr>
          <w:p>
            <w:r>
              <w:rPr>
                <w:sz w:val="19"/>
              </w:rPr>
            </w:r>
            <w:r>
              <w:rPr>
                <w:sz w:val="19"/>
              </w:rPr>
              <w:t>Exception denial rate</w:t>
            </w:r>
          </w:p>
        </w:tc>
        <w:tc>
          <w:tcPr>
            <w:tcW w:type="dxa" w:w="3216"/>
          </w:tcPr>
          <w:p>
            <w:r>
              <w:rPr>
                <w:sz w:val="19"/>
              </w:rPr>
            </w:r>
            <w:r>
              <w:rPr>
                <w:sz w:val="19"/>
              </w:rPr>
              <w:t>20-40%</w:t>
            </w:r>
          </w:p>
        </w:tc>
        <w:tc>
          <w:tcPr>
            <w:tcW w:type="dxa" w:w="3216"/>
          </w:tcPr>
          <w:p>
            <w:r>
              <w:rPr>
                <w:sz w:val="19"/>
              </w:rPr>
            </w:r>
            <w:r>
              <w:rPr>
                <w:sz w:val="19"/>
              </w:rPr>
              <w:t>Too low suggests rubber-stamping; too high suggests overly restrictive profiles</w:t>
            </w:r>
          </w:p>
        </w:tc>
      </w:tr>
      <w:tr>
        <w:tc>
          <w:tcPr>
            <w:tcW w:type="dxa" w:w="3216"/>
          </w:tcPr>
          <w:p>
            <w:r>
              <w:rPr>
                <w:sz w:val="19"/>
              </w:rPr>
            </w:r>
            <w:r>
              <w:rPr>
                <w:sz w:val="19"/>
              </w:rPr>
              <w:t>Post-exception incidents</w:t>
            </w:r>
          </w:p>
        </w:tc>
        <w:tc>
          <w:tcPr>
            <w:tcW w:type="dxa" w:w="3216"/>
          </w:tcPr>
          <w:p>
            <w:r>
              <w:rPr>
                <w:sz w:val="19"/>
              </w:rPr>
            </w:r>
            <w:r>
              <w:rPr>
                <w:sz w:val="19"/>
              </w:rPr>
              <w:t>0</w:t>
            </w:r>
          </w:p>
        </w:tc>
        <w:tc>
          <w:tcPr>
            <w:tcW w:type="dxa" w:w="3216"/>
          </w:tcPr>
          <w:p>
            <w:r>
              <w:rPr>
                <w:sz w:val="19"/>
              </w:rPr>
            </w:r>
            <w:r>
              <w:rPr>
                <w:sz w:val="19"/>
              </w:rPr>
              <w:t>Any incident triggers immediate review</w:t>
            </w:r>
          </w:p>
        </w:tc>
      </w:tr>
      <w:tr>
        <w:tc>
          <w:tcPr>
            <w:tcW w:type="dxa" w:w="3216"/>
          </w:tcPr>
          <w:p>
            <w:r>
              <w:rPr>
                <w:sz w:val="19"/>
              </w:rPr>
            </w:r>
            <w:r>
              <w:rPr>
                <w:sz w:val="19"/>
              </w:rPr>
              <w:t>Exceptions converted to permanent</w:t>
            </w:r>
          </w:p>
        </w:tc>
        <w:tc>
          <w:tcPr>
            <w:tcW w:type="dxa" w:w="3216"/>
          </w:tcPr>
          <w:p>
            <w:r>
              <w:rPr>
                <w:sz w:val="19"/>
              </w:rPr>
            </w:r>
            <w:r>
              <w:rPr>
                <w:sz w:val="19"/>
              </w:rPr>
              <w:t>&lt; 10%</w:t>
            </w:r>
          </w:p>
        </w:tc>
        <w:tc>
          <w:tcPr>
            <w:tcW w:type="dxa" w:w="3216"/>
          </w:tcPr>
          <w:p>
            <w:r>
              <w:rPr>
                <w:sz w:val="19"/>
              </w:rPr>
            </w:r>
            <w:r>
              <w:rPr>
                <w:sz w:val="19"/>
              </w:rPr>
              <w:t>High conversion suggests inadequate initial profiling</w:t>
            </w:r>
          </w:p>
        </w:tc>
      </w:tr>
    </w:tbl>
    <w:p/>
    <w:p>
      <w:r>
        <w:t>Monthly exception reports should be reviewed by the governance board to identify patterns requiring systematic profile adjustments.</w:t>
      </w:r>
    </w:p>
    <w:p>
      <w:pPr>
        <w:pStyle w:val="Heading1"/>
      </w:pPr>
      <w:r>
        <w:t>13. Incident Response and Violation Management</w:t>
      </w:r>
    </w:p>
    <w:p>
      <w:pPr>
        <w:pStyle w:val="Heading2"/>
      </w:pPr>
      <w:r>
        <w:t>13.1 Overview</w:t>
      </w:r>
    </w:p>
    <w:p>
      <w:r>
        <w:t>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p>
      <w:pPr>
        <w:pStyle w:val="Heading2"/>
      </w:pPr>
      <w:r>
        <w:t>13.2 Violation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Category</w:t>
            </w:r>
          </w:p>
        </w:tc>
        <w:tc>
          <w:tcPr>
            <w:tcW w:type="dxa" w:w="2412"/>
          </w:tcPr>
          <w:p>
            <w:r>
              <w:rPr>
                <w:b/>
                <w:sz w:val="19"/>
              </w:rPr>
            </w:r>
            <w:r>
              <w:rPr>
                <w:b/>
                <w:sz w:val="19"/>
              </w:rPr>
              <w:t>Severity</w:t>
            </w:r>
          </w:p>
        </w:tc>
        <w:tc>
          <w:tcPr>
            <w:tcW w:type="dxa" w:w="2412"/>
          </w:tcPr>
          <w:p>
            <w:r>
              <w:rPr>
                <w:b/>
                <w:sz w:val="19"/>
              </w:rPr>
            </w:r>
            <w:r>
              <w:rPr>
                <w:b/>
                <w:sz w:val="19"/>
              </w:rPr>
              <w:t>Description</w:t>
            </w:r>
          </w:p>
        </w:tc>
        <w:tc>
          <w:tcPr>
            <w:tcW w:type="dxa" w:w="2412"/>
          </w:tcPr>
          <w:p>
            <w:r>
              <w:rPr>
                <w:b/>
                <w:sz w:val="19"/>
              </w:rPr>
            </w:r>
            <w:r>
              <w:rPr>
                <w:b/>
                <w:sz w:val="19"/>
              </w:rPr>
              <w:t>Example</w:t>
            </w:r>
          </w:p>
        </w:tc>
      </w:tr>
      <w:tr>
        <w:tc>
          <w:tcPr>
            <w:tcW w:type="dxa" w:w="2412"/>
          </w:tcPr>
          <w:p>
            <w:r>
              <w:rPr>
                <w:sz w:val="19"/>
              </w:rPr>
            </w:r>
            <w:r>
              <w:rPr>
                <w:b/>
                <w:sz w:val="19"/>
              </w:rPr>
              <w:t>Attempt</w:t>
            </w:r>
          </w:p>
        </w:tc>
        <w:tc>
          <w:tcPr>
            <w:tcW w:type="dxa" w:w="2412"/>
          </w:tcPr>
          <w:p>
            <w:r>
              <w:rPr>
                <w:sz w:val="19"/>
              </w:rPr>
            </w:r>
            <w:r>
              <w:rPr>
                <w:sz w:val="19"/>
              </w:rPr>
              <w:t>Low</w:t>
            </w:r>
          </w:p>
        </w:tc>
        <w:tc>
          <w:tcPr>
            <w:tcW w:type="dxa" w:w="2412"/>
          </w:tcPr>
          <w:p>
            <w:r>
              <w:rPr>
                <w:sz w:val="19"/>
              </w:rPr>
            </w:r>
            <w:r>
              <w:rPr>
                <w:sz w:val="19"/>
              </w:rPr>
              <w:t>Agent requested operation beyond permissions; blocked by PEP</w:t>
            </w:r>
          </w:p>
        </w:tc>
        <w:tc>
          <w:tcPr>
            <w:tcW w:type="dxa" w:w="2412"/>
          </w:tcPr>
          <w:p>
            <w:r>
              <w:rPr>
                <w:sz w:val="19"/>
              </w:rPr>
            </w:r>
            <w:r>
              <w:rPr>
                <w:sz w:val="19"/>
              </w:rPr>
              <w:t>Observer agent attempted Move operation</w:t>
            </w:r>
          </w:p>
        </w:tc>
      </w:tr>
      <w:tr>
        <w:tc>
          <w:tcPr>
            <w:tcW w:type="dxa" w:w="2412"/>
          </w:tcPr>
          <w:p>
            <w:r>
              <w:rPr>
                <w:sz w:val="19"/>
              </w:rPr>
            </w:r>
            <w:r>
              <w:rPr>
                <w:b/>
                <w:sz w:val="19"/>
              </w:rPr>
              <w:t>Bypass</w:t>
            </w:r>
          </w:p>
        </w:tc>
        <w:tc>
          <w:tcPr>
            <w:tcW w:type="dxa" w:w="2412"/>
          </w:tcPr>
          <w:p>
            <w:r>
              <w:rPr>
                <w:sz w:val="19"/>
              </w:rPr>
            </w:r>
            <w:r>
              <w:rPr>
                <w:sz w:val="19"/>
              </w:rPr>
              <w:t>High</w:t>
            </w:r>
          </w:p>
        </w:tc>
        <w:tc>
          <w:tcPr>
            <w:tcW w:type="dxa" w:w="2412"/>
          </w:tcPr>
          <w:p>
            <w:r>
              <w:rPr>
                <w:sz w:val="19"/>
              </w:rPr>
            </w:r>
            <w:r>
              <w:rPr>
                <w:sz w:val="19"/>
              </w:rPr>
              <w:t>Agent circumvented policy controls</w:t>
            </w:r>
          </w:p>
        </w:tc>
        <w:tc>
          <w:tcPr>
            <w:tcW w:type="dxa" w:w="2412"/>
          </w:tcPr>
          <w:p>
            <w:r>
              <w:rPr>
                <w:sz w:val="19"/>
              </w:rPr>
            </w:r>
            <w:r>
              <w:rPr>
                <w:sz w:val="19"/>
              </w:rPr>
              <w:t>Agent wrote to command queue to trigger action</w:t>
            </w:r>
          </w:p>
        </w:tc>
      </w:tr>
      <w:tr>
        <w:tc>
          <w:tcPr>
            <w:tcW w:type="dxa" w:w="2412"/>
          </w:tcPr>
          <w:p>
            <w:r>
              <w:rPr>
                <w:sz w:val="19"/>
              </w:rPr>
            </w:r>
            <w:r>
              <w:rPr>
                <w:b/>
                <w:sz w:val="19"/>
              </w:rPr>
              <w:t>Breach</w:t>
            </w:r>
          </w:p>
        </w:tc>
        <w:tc>
          <w:tcPr>
            <w:tcW w:type="dxa" w:w="2412"/>
          </w:tcPr>
          <w:p>
            <w:r>
              <w:rPr>
                <w:sz w:val="19"/>
              </w:rPr>
            </w:r>
            <w:r>
              <w:rPr>
                <w:sz w:val="19"/>
              </w:rPr>
              <w:t>Critical</w:t>
            </w:r>
          </w:p>
        </w:tc>
        <w:tc>
          <w:tcPr>
            <w:tcW w:type="dxa" w:w="2412"/>
          </w:tcPr>
          <w:p>
            <w:r>
              <w:rPr>
                <w:sz w:val="19"/>
              </w:rPr>
            </w:r>
            <w:r>
              <w:rPr>
                <w:sz w:val="19"/>
              </w:rPr>
              <w:t>Unauthorized operation executed on protected data</w:t>
            </w:r>
          </w:p>
        </w:tc>
        <w:tc>
          <w:tcPr>
            <w:tcW w:type="dxa" w:w="2412"/>
          </w:tcPr>
          <w:p>
            <w:r>
              <w:rPr>
                <w:sz w:val="19"/>
              </w:rPr>
            </w:r>
            <w:r>
              <w:rPr>
                <w:sz w:val="19"/>
              </w:rPr>
              <w:t>Change operation on Confidential data without approval</w:t>
            </w:r>
          </w:p>
        </w:tc>
      </w:tr>
      <w:tr>
        <w:tc>
          <w:tcPr>
            <w:tcW w:type="dxa" w:w="2412"/>
          </w:tcPr>
          <w:p>
            <w:r>
              <w:rPr>
                <w:sz w:val="19"/>
              </w:rPr>
            </w:r>
            <w:r>
              <w:rPr>
                <w:b/>
                <w:sz w:val="19"/>
              </w:rPr>
              <w:t>Compromise</w:t>
            </w:r>
          </w:p>
        </w:tc>
        <w:tc>
          <w:tcPr>
            <w:tcW w:type="dxa" w:w="2412"/>
          </w:tcPr>
          <w:p>
            <w:r>
              <w:rPr>
                <w:sz w:val="19"/>
              </w:rPr>
            </w:r>
            <w:r>
              <w:rPr>
                <w:sz w:val="19"/>
              </w:rPr>
              <w:t>Critical</w:t>
            </w:r>
          </w:p>
        </w:tc>
        <w:tc>
          <w:tcPr>
            <w:tcW w:type="dxa" w:w="2412"/>
          </w:tcPr>
          <w:p>
            <w:r>
              <w:rPr>
                <w:sz w:val="19"/>
              </w:rPr>
            </w:r>
            <w:r>
              <w:rPr>
                <w:sz w:val="19"/>
              </w:rPr>
              <w:t>Agent behavior indicates external manipulation</w:t>
            </w:r>
          </w:p>
        </w:tc>
        <w:tc>
          <w:tcPr>
            <w:tcW w:type="dxa" w:w="2412"/>
          </w:tcPr>
          <w:p>
            <w:r>
              <w:rPr>
                <w:sz w:val="19"/>
              </w:rPr>
            </w:r>
            <w:r>
              <w:rPr>
                <w:sz w:val="19"/>
              </w:rPr>
              <w:t>Unusual operation patterns suggesting hijacking</w:t>
            </w:r>
          </w:p>
        </w:tc>
      </w:tr>
    </w:tbl>
    <w:p/>
    <w:p>
      <w:pPr>
        <w:pStyle w:val="Heading2"/>
      </w:pPr>
      <w:r>
        <w:t>13.3 Detection Mechanisms</w:t>
      </w:r>
    </w:p>
    <w:p>
      <w:r>
        <w:t>RMACD policy enforcement should include multiple detection layers: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Layer</w:t>
            </w:r>
          </w:p>
        </w:tc>
        <w:tc>
          <w:tcPr>
            <w:tcW w:type="dxa" w:w="3216"/>
          </w:tcPr>
          <w:p>
            <w:r>
              <w:rPr>
                <w:b/>
                <w:sz w:val="19"/>
              </w:rPr>
            </w:r>
            <w:r>
              <w:rPr>
                <w:b/>
                <w:sz w:val="19"/>
              </w:rPr>
              <w:t>Mechanism</w:t>
            </w:r>
          </w:p>
        </w:tc>
        <w:tc>
          <w:tcPr>
            <w:tcW w:type="dxa" w:w="3216"/>
          </w:tcPr>
          <w:p>
            <w:r>
              <w:rPr>
                <w:b/>
                <w:sz w:val="19"/>
              </w:rPr>
            </w:r>
            <w:r>
              <w:rPr>
                <w:b/>
                <w:sz w:val="19"/>
              </w:rPr>
              <w:t>Response</w:t>
            </w:r>
          </w:p>
        </w:tc>
      </w:tr>
      <w:tr>
        <w:tc>
          <w:tcPr>
            <w:tcW w:type="dxa" w:w="3216"/>
          </w:tcPr>
          <w:p>
            <w:r>
              <w:rPr>
                <w:sz w:val="19"/>
              </w:rPr>
            </w:r>
            <w:r>
              <w:rPr>
                <w:b/>
                <w:sz w:val="19"/>
              </w:rPr>
              <w:t>Prevention</w:t>
            </w:r>
          </w:p>
        </w:tc>
        <w:tc>
          <w:tcPr>
            <w:tcW w:type="dxa" w:w="3216"/>
          </w:tcPr>
          <w:p>
            <w:r>
              <w:rPr>
                <w:sz w:val="19"/>
              </w:rPr>
            </w:r>
            <w:r>
              <w:rPr>
                <w:sz w:val="19"/>
              </w:rPr>
              <w:t>Policy Enforcement Point (PEP) blocks unauthorized operations</w:t>
            </w:r>
          </w:p>
        </w:tc>
        <w:tc>
          <w:tcPr>
            <w:tcW w:type="dxa" w:w="3216"/>
          </w:tcPr>
          <w:p>
            <w:r>
              <w:rPr>
                <w:sz w:val="19"/>
              </w:rPr>
            </w:r>
            <w:r>
              <w:rPr>
                <w:sz w:val="19"/>
              </w:rPr>
              <w:t>Log attempt, continue monitoring</w:t>
            </w:r>
          </w:p>
        </w:tc>
      </w:tr>
      <w:tr>
        <w:tc>
          <w:tcPr>
            <w:tcW w:type="dxa" w:w="3216"/>
          </w:tcPr>
          <w:p>
            <w:r>
              <w:rPr>
                <w:sz w:val="19"/>
              </w:rPr>
            </w:r>
            <w:r>
              <w:rPr>
                <w:b/>
                <w:sz w:val="19"/>
              </w:rPr>
              <w:t>Detection</w:t>
            </w:r>
          </w:p>
        </w:tc>
        <w:tc>
          <w:tcPr>
            <w:tcW w:type="dxa" w:w="3216"/>
          </w:tcPr>
          <w:p>
            <w:r>
              <w:rPr>
                <w:sz w:val="19"/>
              </w:rPr>
            </w:r>
            <w:r>
              <w:rPr>
                <w:sz w:val="19"/>
              </w:rPr>
              <w:t>Anomaly detection on operation patterns</w:t>
            </w:r>
          </w:p>
        </w:tc>
        <w:tc>
          <w:tcPr>
            <w:tcW w:type="dxa" w:w="3216"/>
          </w:tcPr>
          <w:p>
            <w:r>
              <w:rPr>
                <w:sz w:val="19"/>
              </w:rPr>
            </w:r>
            <w:r>
              <w:rPr>
                <w:sz w:val="19"/>
              </w:rPr>
              <w:t>Alert SOC, flag for investigation</w:t>
            </w:r>
          </w:p>
        </w:tc>
      </w:tr>
      <w:tr>
        <w:tc>
          <w:tcPr>
            <w:tcW w:type="dxa" w:w="3216"/>
          </w:tcPr>
          <w:p>
            <w:r>
              <w:rPr>
                <w:sz w:val="19"/>
              </w:rPr>
            </w:r>
            <w:r>
              <w:rPr>
                <w:b/>
                <w:sz w:val="19"/>
              </w:rPr>
              <w:t>Audit</w:t>
            </w:r>
          </w:p>
        </w:tc>
        <w:tc>
          <w:tcPr>
            <w:tcW w:type="dxa" w:w="3216"/>
          </w:tcPr>
          <w:p>
            <w:r>
              <w:rPr>
                <w:sz w:val="19"/>
              </w:rPr>
            </w:r>
            <w:r>
              <w:rPr>
                <w:sz w:val="19"/>
              </w:rPr>
              <w:t>Post-hoc analysis of audit logs</w:t>
            </w:r>
          </w:p>
        </w:tc>
        <w:tc>
          <w:tcPr>
            <w:tcW w:type="dxa" w:w="3216"/>
          </w:tcPr>
          <w:p>
            <w:r>
              <w:rPr>
                <w:sz w:val="19"/>
              </w:rPr>
            </w:r>
            <w:r>
              <w:rPr>
                <w:sz w:val="19"/>
              </w:rPr>
              <w:t>Identify policy gaps, update profiles</w:t>
            </w:r>
          </w:p>
        </w:tc>
      </w:tr>
      <w:tr>
        <w:tc>
          <w:tcPr>
            <w:tcW w:type="dxa" w:w="3216"/>
          </w:tcPr>
          <w:p>
            <w:r>
              <w:rPr>
                <w:sz w:val="19"/>
              </w:rPr>
            </w:r>
            <w:r>
              <w:rPr>
                <w:b/>
                <w:sz w:val="19"/>
              </w:rPr>
              <w:t>Correlation</w:t>
            </w:r>
          </w:p>
        </w:tc>
        <w:tc>
          <w:tcPr>
            <w:tcW w:type="dxa" w:w="3216"/>
          </w:tcPr>
          <w:p>
            <w:r>
              <w:rPr>
                <w:sz w:val="19"/>
              </w:rPr>
            </w:r>
            <w:r>
              <w:rPr>
                <w:sz w:val="19"/>
              </w:rPr>
              <w:t>Cross-agent behavior analysis</w:t>
            </w:r>
          </w:p>
        </w:tc>
        <w:tc>
          <w:tcPr>
            <w:tcW w:type="dxa" w:w="3216"/>
          </w:tcPr>
          <w:p>
            <w:r>
              <w:rPr>
                <w:sz w:val="19"/>
              </w:rPr>
            </w:r>
            <w:r>
              <w:rPr>
                <w:sz w:val="19"/>
              </w:rPr>
              <w:t>Detect coordinated violations</w:t>
            </w:r>
          </w:p>
        </w:tc>
      </w:tr>
    </w:tbl>
    <w:p/>
    <w:p>
      <w:pPr>
        <w:pStyle w:val="Heading2"/>
      </w:pPr>
      <w:r>
        <w:t>13.4 Incident Response Workflow</w:t>
      </w:r>
    </w:p>
    <w:p>
      <w:pPr>
        <w:pStyle w:val="Heading3"/>
      </w:pPr>
      <w:r>
        <w:t>Phase 1: Detection and Triage (0-15 minutes)</w:t>
      </w:r>
    </w:p>
    <w:p>
      <w:pPr>
        <w:pStyle w:val="ListNumber"/>
      </w:pPr>
      <w:r>
        <w:rPr>
          <w:b/>
        </w:rPr>
        <w:t>Alert received</w:t>
      </w:r>
      <w:r>
        <w:t xml:space="preserve"> from PEP, SIEM, or anomaly detection</w:t>
      </w:r>
    </w:p>
    <w:p>
      <w:pPr>
        <w:pStyle w:val="ListNumber"/>
      </w:pPr>
      <w:r>
        <w:rPr>
          <w:b/>
        </w:rPr>
        <w:t>Initial classification</w:t>
      </w:r>
      <w:r>
        <w:t xml:space="preserve"> based on violation category and data sensitivity</w:t>
      </w:r>
    </w:p>
    <w:p>
      <w:pPr>
        <w:pStyle w:val="ListNumber"/>
      </w:pPr>
      <w:r>
        <w:rPr>
          <w:b/>
        </w:rPr>
        <w:t>Severity assignment</w:t>
      </w:r>
      <w:r>
        <w:t xml:space="preserve"> using matrix:</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Violation Type</w:t>
            </w:r>
          </w:p>
        </w:tc>
        <w:tc>
          <w:tcPr>
            <w:tcW w:type="dxa" w:w="1930"/>
          </w:tcPr>
          <w:p>
            <w:r>
              <w:rPr>
                <w:b/>
                <w:sz w:val="19"/>
              </w:rPr>
            </w:r>
            <w:r>
              <w:rPr>
                <w:b/>
                <w:sz w:val="19"/>
              </w:rPr>
              <w:t>Public Data</w:t>
            </w:r>
          </w:p>
        </w:tc>
        <w:tc>
          <w:tcPr>
            <w:tcW w:type="dxa" w:w="1930"/>
          </w:tcPr>
          <w:p>
            <w:r>
              <w:rPr>
                <w:b/>
                <w:sz w:val="19"/>
              </w:rPr>
            </w:r>
            <w:r>
              <w:rPr>
                <w:b/>
                <w:sz w:val="19"/>
              </w:rPr>
              <w:t>Internal Data</w:t>
            </w:r>
          </w:p>
        </w:tc>
        <w:tc>
          <w:tcPr>
            <w:tcW w:type="dxa" w:w="1930"/>
          </w:tcPr>
          <w:p>
            <w:r>
              <w:rPr>
                <w:b/>
                <w:sz w:val="19"/>
              </w:rPr>
            </w:r>
            <w:r>
              <w:rPr>
                <w:b/>
                <w:sz w:val="19"/>
              </w:rPr>
              <w:t>Confidential Data</w:t>
            </w:r>
          </w:p>
        </w:tc>
        <w:tc>
          <w:tcPr>
            <w:tcW w:type="dxa" w:w="1930"/>
          </w:tcPr>
          <w:p>
            <w:r>
              <w:rPr>
                <w:b/>
                <w:sz w:val="19"/>
              </w:rPr>
            </w:r>
            <w:r>
              <w:rPr>
                <w:b/>
                <w:sz w:val="19"/>
              </w:rPr>
              <w:t>Restricted Data</w:t>
            </w:r>
          </w:p>
        </w:tc>
      </w:tr>
      <w:tr>
        <w:tc>
          <w:tcPr>
            <w:tcW w:type="dxa" w:w="1930"/>
          </w:tcPr>
          <w:p>
            <w:r>
              <w:rPr>
                <w:sz w:val="19"/>
              </w:rPr>
            </w:r>
            <w:r>
              <w:rPr>
                <w:sz w:val="19"/>
              </w:rPr>
              <w:t>Attempt</w:t>
            </w:r>
          </w:p>
        </w:tc>
        <w:tc>
          <w:tcPr>
            <w:tcW w:type="dxa" w:w="1930"/>
          </w:tcPr>
          <w:p>
            <w:r>
              <w:rPr>
                <w:sz w:val="19"/>
              </w:rPr>
            </w:r>
            <w:r>
              <w:rPr>
                <w:sz w:val="19"/>
              </w:rPr>
              <w:t>P4-Low</w:t>
            </w:r>
          </w:p>
        </w:tc>
        <w:tc>
          <w:tcPr>
            <w:tcW w:type="dxa" w:w="1930"/>
          </w:tcPr>
          <w:p>
            <w:r>
              <w:rPr>
                <w:sz w:val="19"/>
              </w:rPr>
            </w:r>
            <w:r>
              <w:rPr>
                <w:sz w:val="19"/>
              </w:rPr>
              <w:t>P4-Low</w:t>
            </w:r>
          </w:p>
        </w:tc>
        <w:tc>
          <w:tcPr>
            <w:tcW w:type="dxa" w:w="1930"/>
          </w:tcPr>
          <w:p>
            <w:r>
              <w:rPr>
                <w:sz w:val="19"/>
              </w:rPr>
            </w:r>
            <w:r>
              <w:rPr>
                <w:sz w:val="19"/>
              </w:rPr>
              <w:t>P3-Medium</w:t>
            </w:r>
          </w:p>
        </w:tc>
        <w:tc>
          <w:tcPr>
            <w:tcW w:type="dxa" w:w="1930"/>
          </w:tcPr>
          <w:p>
            <w:r>
              <w:rPr>
                <w:sz w:val="19"/>
              </w:rPr>
            </w:r>
            <w:r>
              <w:rPr>
                <w:sz w:val="19"/>
              </w:rPr>
              <w:t>P2-High</w:t>
            </w:r>
          </w:p>
        </w:tc>
      </w:tr>
      <w:tr>
        <w:tc>
          <w:tcPr>
            <w:tcW w:type="dxa" w:w="1930"/>
          </w:tcPr>
          <w:p>
            <w:r>
              <w:rPr>
                <w:sz w:val="19"/>
              </w:rPr>
            </w:r>
            <w:r>
              <w:rPr>
                <w:sz w:val="19"/>
              </w:rPr>
              <w:t>Bypass</w:t>
            </w:r>
          </w:p>
        </w:tc>
        <w:tc>
          <w:tcPr>
            <w:tcW w:type="dxa" w:w="1930"/>
          </w:tcPr>
          <w:p>
            <w:r>
              <w:rPr>
                <w:sz w:val="19"/>
              </w:rPr>
            </w:r>
            <w:r>
              <w:rPr>
                <w:sz w:val="19"/>
              </w:rPr>
              <w:t>P3-Medium</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Breach</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Compromise</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bl>
    <w:p/>
    <w:p>
      <w:pPr>
        <w:pStyle w:val="Heading3"/>
      </w:pPr>
      <w:r>
        <w:t>Phase 2: Containment (15-60 minutes)</w:t>
      </w:r>
    </w:p>
    <w:p>
      <w:r>
        <w:t>Based on severity: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Severity</w:t>
            </w:r>
          </w:p>
        </w:tc>
        <w:tc>
          <w:tcPr>
            <w:tcW w:type="dxa" w:w="4824"/>
          </w:tcPr>
          <w:p>
            <w:r>
              <w:rPr>
                <w:b/>
                <w:sz w:val="19"/>
              </w:rPr>
            </w:r>
            <w:r>
              <w:rPr>
                <w:b/>
                <w:sz w:val="19"/>
              </w:rPr>
              <w:t>Containment Action</w:t>
            </w:r>
          </w:p>
        </w:tc>
      </w:tr>
      <w:tr>
        <w:tc>
          <w:tcPr>
            <w:tcW w:type="dxa" w:w="4824"/>
          </w:tcPr>
          <w:p>
            <w:r>
              <w:rPr>
                <w:sz w:val="19"/>
              </w:rPr>
            </w:r>
            <w:r>
              <w:rPr>
                <w:b/>
                <w:sz w:val="19"/>
              </w:rPr>
              <w:t>P4-Low</w:t>
            </w:r>
          </w:p>
        </w:tc>
        <w:tc>
          <w:tcPr>
            <w:tcW w:type="dxa" w:w="4824"/>
          </w:tcPr>
          <w:p>
            <w:r>
              <w:rPr>
                <w:sz w:val="19"/>
              </w:rPr>
            </w:r>
            <w:r>
              <w:rPr>
                <w:sz w:val="19"/>
              </w:rPr>
              <w:t>Log and monitor; no immediate action required</w:t>
            </w:r>
          </w:p>
        </w:tc>
      </w:tr>
      <w:tr>
        <w:tc>
          <w:tcPr>
            <w:tcW w:type="dxa" w:w="4824"/>
          </w:tcPr>
          <w:p>
            <w:r>
              <w:rPr>
                <w:sz w:val="19"/>
              </w:rPr>
            </w:r>
            <w:r>
              <w:rPr>
                <w:b/>
                <w:sz w:val="19"/>
              </w:rPr>
              <w:t>P3-Medium</w:t>
            </w:r>
          </w:p>
        </w:tc>
        <w:tc>
          <w:tcPr>
            <w:tcW w:type="dxa" w:w="4824"/>
          </w:tcPr>
          <w:p>
            <w:r>
              <w:rPr>
                <w:sz w:val="19"/>
              </w:rPr>
            </w:r>
            <w:r>
              <w:rPr>
                <w:sz w:val="19"/>
              </w:rPr>
              <w:t>Reduce agent to Read-only profile; notify agent owner</w:t>
            </w:r>
          </w:p>
        </w:tc>
      </w:tr>
      <w:tr>
        <w:tc>
          <w:tcPr>
            <w:tcW w:type="dxa" w:w="4824"/>
          </w:tcPr>
          <w:p>
            <w:r>
              <w:rPr>
                <w:sz w:val="19"/>
              </w:rPr>
            </w:r>
            <w:r>
              <w:rPr>
                <w:b/>
                <w:sz w:val="19"/>
              </w:rPr>
              <w:t>P2-High</w:t>
            </w:r>
          </w:p>
        </w:tc>
        <w:tc>
          <w:tcPr>
            <w:tcW w:type="dxa" w:w="4824"/>
          </w:tcPr>
          <w:p>
            <w:r>
              <w:rPr>
                <w:sz w:val="19"/>
              </w:rPr>
            </w:r>
            <w:r>
              <w:rPr>
                <w:sz w:val="19"/>
              </w:rPr>
              <w:t>Suspend agent operations; isolate from sensitive systems</w:t>
            </w:r>
          </w:p>
        </w:tc>
      </w:tr>
      <w:tr>
        <w:tc>
          <w:tcPr>
            <w:tcW w:type="dxa" w:w="4824"/>
          </w:tcPr>
          <w:p>
            <w:r>
              <w:rPr>
                <w:sz w:val="19"/>
              </w:rPr>
            </w:r>
            <w:r>
              <w:rPr>
                <w:b/>
                <w:sz w:val="19"/>
              </w:rPr>
              <w:t>P1-Critical</w:t>
            </w:r>
          </w:p>
        </w:tc>
        <w:tc>
          <w:tcPr>
            <w:tcW w:type="dxa" w:w="4824"/>
          </w:tcPr>
          <w:p>
            <w:r>
              <w:rPr>
                <w:sz w:val="19"/>
              </w:rPr>
            </w:r>
            <w:r>
              <w:rPr>
                <w:sz w:val="19"/>
              </w:rPr>
              <w:t>Immediate termination; network isolation; preserve forensic state</w:t>
            </w:r>
          </w:p>
        </w:tc>
      </w:tr>
    </w:tbl>
    <w:p/>
    <w:p>
      <w:pPr>
        <w:pStyle w:val="Heading3"/>
      </w:pPr>
      <w:r>
        <w:t>Phase 3: Investigation (1-24 hours)</w:t>
      </w:r>
    </w:p>
    <w:p>
      <w:r>
        <w:t>Investigation must determine:</w:t>
      </w:r>
    </w:p>
    <w:p>
      <w:pPr>
        <w:pStyle w:val="ListBullet"/>
      </w:pPr>
      <w:r>
        <w:rPr>
          <w:b/>
        </w:rPr>
        <w:t>Root cause</w:t>
      </w:r>
      <w:r>
        <w:t>: Misconfiguration, bug, compromise, or intentional abuse?</w:t>
      </w:r>
    </w:p>
    <w:p>
      <w:pPr>
        <w:pStyle w:val="ListBullet"/>
      </w:pPr>
      <w:r>
        <w:rPr>
          <w:b/>
        </w:rPr>
        <w:t>Scope</w:t>
      </w:r>
      <w:r>
        <w:t>: What data/systems were affected?</w:t>
      </w:r>
    </w:p>
    <w:p>
      <w:pPr>
        <w:pStyle w:val="ListBullet"/>
      </w:pPr>
      <w:r>
        <w:rPr>
          <w:b/>
        </w:rPr>
        <w:t>Impact</w:t>
      </w:r>
      <w:r>
        <w:t>: Was data exfiltrated, modified, or destroyed?</w:t>
      </w:r>
    </w:p>
    <w:p>
      <w:pPr>
        <w:pStyle w:val="ListBullet"/>
      </w:pPr>
      <w:r>
        <w:rPr>
          <w:b/>
        </w:rPr>
        <w:t>Attribution</w:t>
      </w:r>
      <w:r>
        <w:t>: If compromise, what was the attack vector?</w:t>
      </w:r>
    </w:p>
    <w:p>
      <w:pPr>
        <w:pStyle w:val="Heading3"/>
      </w:pPr>
      <w:r>
        <w:t>Phase 4: Remediation (24-72 hours)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Root Cause</w:t>
            </w:r>
          </w:p>
        </w:tc>
        <w:tc>
          <w:tcPr>
            <w:tcW w:type="dxa" w:w="4824"/>
          </w:tcPr>
          <w:p>
            <w:r>
              <w:rPr>
                <w:b/>
                <w:sz w:val="19"/>
              </w:rPr>
            </w:r>
            <w:r>
              <w:rPr>
                <w:b/>
                <w:sz w:val="19"/>
              </w:rPr>
              <w:t>Remediation</w:t>
            </w:r>
          </w:p>
        </w:tc>
      </w:tr>
      <w:tr>
        <w:tc>
          <w:tcPr>
            <w:tcW w:type="dxa" w:w="4824"/>
          </w:tcPr>
          <w:p>
            <w:r>
              <w:rPr>
                <w:sz w:val="19"/>
              </w:rPr>
            </w:r>
            <w:r>
              <w:rPr>
                <w:b/>
                <w:sz w:val="19"/>
              </w:rPr>
              <w:t>Misconfiguration</w:t>
            </w:r>
          </w:p>
        </w:tc>
        <w:tc>
          <w:tcPr>
            <w:tcW w:type="dxa" w:w="4824"/>
          </w:tcPr>
          <w:p>
            <w:r>
              <w:rPr>
                <w:sz w:val="19"/>
              </w:rPr>
            </w:r>
            <w:r>
              <w:rPr>
                <w:sz w:val="19"/>
              </w:rPr>
              <w:t>Correct profile; add validation; update deployment process</w:t>
            </w:r>
          </w:p>
        </w:tc>
      </w:tr>
      <w:tr>
        <w:tc>
          <w:tcPr>
            <w:tcW w:type="dxa" w:w="4824"/>
          </w:tcPr>
          <w:p>
            <w:r>
              <w:rPr>
                <w:sz w:val="19"/>
              </w:rPr>
            </w:r>
            <w:r>
              <w:rPr>
                <w:b/>
                <w:sz w:val="19"/>
              </w:rPr>
              <w:t>Software bug</w:t>
            </w:r>
          </w:p>
        </w:tc>
        <w:tc>
          <w:tcPr>
            <w:tcW w:type="dxa" w:w="4824"/>
          </w:tcPr>
          <w:p>
            <w:r>
              <w:rPr>
                <w:sz w:val="19"/>
              </w:rPr>
            </w:r>
            <w:r>
              <w:rPr>
                <w:sz w:val="19"/>
              </w:rPr>
              <w:t>Patch agent; add regression tests; review similar agents</w:t>
            </w:r>
          </w:p>
        </w:tc>
      </w:tr>
      <w:tr>
        <w:tc>
          <w:tcPr>
            <w:tcW w:type="dxa" w:w="4824"/>
          </w:tcPr>
          <w:p>
            <w:r>
              <w:rPr>
                <w:sz w:val="19"/>
              </w:rPr>
            </w:r>
            <w:r>
              <w:rPr>
                <w:b/>
                <w:sz w:val="19"/>
              </w:rPr>
              <w:t>Policy gap</w:t>
            </w:r>
          </w:p>
        </w:tc>
        <w:tc>
          <w:tcPr>
            <w:tcW w:type="dxa" w:w="4824"/>
          </w:tcPr>
          <w:p>
            <w:r>
              <w:rPr>
                <w:sz w:val="19"/>
              </w:rPr>
            </w:r>
            <w:r>
              <w:rPr>
                <w:sz w:val="19"/>
              </w:rPr>
              <w:t>Update governance matrix; add new constraints</w:t>
            </w:r>
          </w:p>
        </w:tc>
      </w:tr>
      <w:tr>
        <w:tc>
          <w:tcPr>
            <w:tcW w:type="dxa" w:w="4824"/>
          </w:tcPr>
          <w:p>
            <w:r>
              <w:rPr>
                <w:sz w:val="19"/>
              </w:rPr>
            </w:r>
            <w:r>
              <w:rPr>
                <w:b/>
                <w:sz w:val="19"/>
              </w:rPr>
              <w:t>Compromise</w:t>
            </w:r>
          </w:p>
        </w:tc>
        <w:tc>
          <w:tcPr>
            <w:tcW w:type="dxa" w:w="4824"/>
          </w:tcPr>
          <w:p>
            <w:r>
              <w:rPr>
                <w:sz w:val="19"/>
              </w:rPr>
            </w:r>
            <w:r>
              <w:rPr>
                <w:sz w:val="19"/>
              </w:rPr>
              <w:t>Rotate credentials; patch vulnerability; forensic review</w:t>
            </w:r>
          </w:p>
        </w:tc>
      </w:tr>
      <w:tr>
        <w:tc>
          <w:tcPr>
            <w:tcW w:type="dxa" w:w="4824"/>
          </w:tcPr>
          <w:p>
            <w:r>
              <w:rPr>
                <w:sz w:val="19"/>
              </w:rPr>
            </w:r>
            <w:r>
              <w:rPr>
                <w:b/>
                <w:sz w:val="19"/>
              </w:rPr>
              <w:t>Intentional abuse</w:t>
            </w:r>
          </w:p>
        </w:tc>
        <w:tc>
          <w:tcPr>
            <w:tcW w:type="dxa" w:w="4824"/>
          </w:tcPr>
          <w:p>
            <w:r>
              <w:rPr>
                <w:sz w:val="19"/>
              </w:rPr>
            </w:r>
            <w:r>
              <w:rPr>
                <w:sz w:val="19"/>
              </w:rPr>
              <w:t>Revoke agent; escalate to management/legal</w:t>
            </w:r>
          </w:p>
        </w:tc>
      </w:tr>
    </w:tbl>
    <w:p/>
    <w:p>
      <w:pPr>
        <w:pStyle w:val="Heading3"/>
      </w:pPr>
      <w:r>
        <w:t>Phase 5: Recovery and Restoration</w:t>
      </w:r>
    </w:p>
    <w:p>
      <w:pPr>
        <w:pStyle w:val="ListNumber"/>
      </w:pPr>
      <w:r>
        <w:rPr>
          <w:b/>
        </w:rPr>
        <w:t>Validate remediation</w:t>
      </w:r>
      <w:r>
        <w:t xml:space="preserve"> through testing</w:t>
      </w:r>
    </w:p>
    <w:p>
      <w:pPr>
        <w:pStyle w:val="ListNumber"/>
      </w:pPr>
      <w:r>
        <w:rPr>
          <w:b/>
        </w:rPr>
        <w:t>Restore agent</w:t>
      </w:r>
      <w:r>
        <w:t xml:space="preserve"> with corrected profile (if appropriate)</w:t>
      </w:r>
    </w:p>
    <w:p>
      <w:pPr>
        <w:pStyle w:val="ListNumber"/>
      </w:pPr>
      <w:r>
        <w:rPr>
          <w:b/>
        </w:rPr>
        <w:t>Enhanced monitoring</w:t>
      </w:r>
      <w:r>
        <w:t xml:space="preserve"> for 30-day observation period</w:t>
      </w:r>
    </w:p>
    <w:p>
      <w:pPr>
        <w:pStyle w:val="ListNumber"/>
      </w:pPr>
      <w:r>
        <w:rPr>
          <w:b/>
        </w:rPr>
        <w:t>Stakeholder communication</w:t>
      </w:r>
      <w:r>
        <w:t xml:space="preserve"> on incident and resolution</w:t>
      </w:r>
    </w:p>
    <w:p>
      <w:pPr>
        <w:pStyle w:val="Heading3"/>
      </w:pPr>
      <w:r>
        <w:t>Phase 6: Post-Incident Review</w:t>
      </w:r>
    </w:p>
    <w:p>
      <w:r>
        <w:t>Within 7 days of resolution:</w:t>
      </w:r>
    </w:p>
    <w:p>
      <w:pPr>
        <w:pStyle w:val="ListBullet"/>
      </w:pPr>
      <w:r>
        <w:rPr>
          <w:b/>
        </w:rPr>
        <w:t>Incident report</w:t>
      </w:r>
      <w:r>
        <w:t xml:space="preserve"> documenting timeline, impact, and response</w:t>
      </w:r>
    </w:p>
    <w:p>
      <w:pPr>
        <w:pStyle w:val="ListBullet"/>
      </w:pPr>
      <w:r>
        <w:rPr>
          <w:b/>
        </w:rPr>
        <w:t>Lessons learned</w:t>
      </w:r>
      <w:r>
        <w:t xml:space="preserve"> identifying process improvements</w:t>
      </w:r>
    </w:p>
    <w:p>
      <w:pPr>
        <w:pStyle w:val="ListBullet"/>
      </w:pPr>
      <w:r>
        <w:rPr>
          <w:b/>
        </w:rPr>
        <w:t>Governance updates</w:t>
      </w:r>
      <w:r>
        <w:t xml:space="preserve"> if matrix or profiles need adjustment</w:t>
      </w:r>
    </w:p>
    <w:p>
      <w:pPr>
        <w:pStyle w:val="ListBullet"/>
      </w:pPr>
      <w:r>
        <w:rPr>
          <w:b/>
        </w:rPr>
        <w:t>Training needs</w:t>
      </w:r>
      <w:r>
        <w:t xml:space="preserve"> if human error contributed</w:t>
      </w:r>
    </w:p>
    <w:p>
      <w:pPr>
        <w:pStyle w:val="Heading2"/>
      </w:pPr>
      <w:r>
        <w:t>13.5 Incident Response Profiles</w:t>
      </w:r>
    </w:p>
    <w:p>
      <w:r>
        <w:t>For security incident response, pre-authorized escalation profiles enable rapid containment: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"rmacd-3d-incident-responder-v1",</w:t>
        <w:br/>
      </w:r>
      <w:r>
        <w:rPr>
          <w:rFonts w:ascii="Courier New" w:hAnsi="Courier New"/>
          <w:sz w:val="17"/>
        </w:rPr>
        <w:t xml:space="preserve">  "profile_name": "Incident Responder",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"Pre-authorized IR agent for security incident containment",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["soc_declared_incident", "automated_threat_detection"],</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"max_duration_minutes": 60,</w:t>
        <w:br/>
      </w:r>
      <w:r>
        <w:rPr>
          <w:rFonts w:ascii="Courier New" w:hAnsi="Courier New"/>
          <w:sz w:val="17"/>
        </w:rPr>
        <w:t xml:space="preserve">    "require_post_incident_review": true,</w:t>
        <w:br/>
      </w:r>
      <w:r>
        <w:rPr>
          <w:rFonts w:ascii="Courier New" w:hAnsi="Courier New"/>
          <w:sz w:val="17"/>
        </w:rPr>
        <w:t xml:space="preserve">    "notification_targets": ["soc@company.com", "ciso@company.com"]</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"isolate_network_segment",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"capture_memory_dump",</w:t>
        <w:br/>
      </w:r>
      <w:r>
        <w:rPr>
          <w:rFonts w:ascii="Courier New" w:hAnsi="Courier New"/>
          <w:sz w:val="17"/>
        </w:rPr>
        <w:t xml:space="preserve">      "snapshot_disk",</w:t>
        <w:br/>
      </w:r>
      <w:r>
        <w:rPr>
          <w:rFonts w:ascii="Courier New" w:hAnsi="Courier New"/>
          <w:sz w:val="17"/>
        </w:rPr>
        <w:t xml:space="preserve">      "quarantine_file"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"2026-01-15T00:00:00Z",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13.6 Violation Metrics and Continuous Improvement</w:t>
      </w:r>
    </w:p>
    <w:p>
      <w:r>
        <w:t>Track these metrics to improve governance effectiveness: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Purpose</w:t>
            </w:r>
          </w:p>
        </w:tc>
        <w:tc>
          <w:tcPr>
            <w:tcW w:type="dxa" w:w="3216"/>
          </w:tcPr>
          <w:p>
            <w:r>
              <w:rPr>
                <w:b/>
                <w:sz w:val="19"/>
              </w:rPr>
            </w:r>
            <w:r>
              <w:rPr>
                <w:b/>
                <w:sz w:val="19"/>
              </w:rPr>
              <w:t>Target</w:t>
            </w:r>
          </w:p>
        </w:tc>
      </w:tr>
      <w:tr>
        <w:tc>
          <w:tcPr>
            <w:tcW w:type="dxa" w:w="3216"/>
          </w:tcPr>
          <w:p>
            <w:r>
              <w:rPr>
                <w:sz w:val="19"/>
              </w:rPr>
            </w:r>
            <w:r>
              <w:rPr>
                <w:sz w:val="19"/>
              </w:rPr>
              <w:t>Mean Time to Detect (MTTD)</w:t>
            </w:r>
          </w:p>
        </w:tc>
        <w:tc>
          <w:tcPr>
            <w:tcW w:type="dxa" w:w="3216"/>
          </w:tcPr>
          <w:p>
            <w:r>
              <w:rPr>
                <w:sz w:val="19"/>
              </w:rPr>
            </w:r>
            <w:r>
              <w:rPr>
                <w:sz w:val="19"/>
              </w:rPr>
              <w:t>How quickly violations are identified</w:t>
            </w:r>
          </w:p>
        </w:tc>
        <w:tc>
          <w:tcPr>
            <w:tcW w:type="dxa" w:w="3216"/>
          </w:tcPr>
          <w:p>
            <w:r>
              <w:rPr>
                <w:sz w:val="19"/>
              </w:rPr>
            </w:r>
            <w:r>
              <w:rPr>
                <w:sz w:val="19"/>
              </w:rPr>
              <w:t>&lt; 5 minutes</w:t>
            </w:r>
          </w:p>
        </w:tc>
      </w:tr>
      <w:tr>
        <w:tc>
          <w:tcPr>
            <w:tcW w:type="dxa" w:w="3216"/>
          </w:tcPr>
          <w:p>
            <w:r>
              <w:rPr>
                <w:sz w:val="19"/>
              </w:rPr>
            </w:r>
            <w:r>
              <w:rPr>
                <w:sz w:val="19"/>
              </w:rPr>
              <w:t>Mean Time to Contain (MTTC)</w:t>
            </w:r>
          </w:p>
        </w:tc>
        <w:tc>
          <w:tcPr>
            <w:tcW w:type="dxa" w:w="3216"/>
          </w:tcPr>
          <w:p>
            <w:r>
              <w:rPr>
                <w:sz w:val="19"/>
              </w:rPr>
            </w:r>
            <w:r>
              <w:rPr>
                <w:sz w:val="19"/>
              </w:rPr>
              <w:t>How quickly agents are isolated</w:t>
            </w:r>
          </w:p>
        </w:tc>
        <w:tc>
          <w:tcPr>
            <w:tcW w:type="dxa" w:w="3216"/>
          </w:tcPr>
          <w:p>
            <w:r>
              <w:rPr>
                <w:sz w:val="19"/>
              </w:rPr>
            </w:r>
            <w:r>
              <w:rPr>
                <w:sz w:val="19"/>
              </w:rPr>
              <w:t>&lt; 15 minutes</w:t>
            </w:r>
          </w:p>
        </w:tc>
      </w:tr>
      <w:tr>
        <w:tc>
          <w:tcPr>
            <w:tcW w:type="dxa" w:w="3216"/>
          </w:tcPr>
          <w:p>
            <w:r>
              <w:rPr>
                <w:sz w:val="19"/>
              </w:rPr>
            </w:r>
            <w:r>
              <w:rPr>
                <w:sz w:val="19"/>
              </w:rPr>
              <w:t>Mean Time to Remediate (MTTR)</w:t>
            </w:r>
          </w:p>
        </w:tc>
        <w:tc>
          <w:tcPr>
            <w:tcW w:type="dxa" w:w="3216"/>
          </w:tcPr>
          <w:p>
            <w:r>
              <w:rPr>
                <w:sz w:val="19"/>
              </w:rPr>
            </w:r>
            <w:r>
              <w:rPr>
                <w:sz w:val="19"/>
              </w:rPr>
              <w:t>How quickly normal operations resume</w:t>
            </w:r>
          </w:p>
        </w:tc>
        <w:tc>
          <w:tcPr>
            <w:tcW w:type="dxa" w:w="3216"/>
          </w:tcPr>
          <w:p>
            <w:r>
              <w:rPr>
                <w:sz w:val="19"/>
              </w:rPr>
            </w:r>
            <w:r>
              <w:rPr>
                <w:sz w:val="19"/>
              </w:rPr>
              <w:t>&lt; 24 hours</w:t>
            </w:r>
          </w:p>
        </w:tc>
      </w:tr>
      <w:tr>
        <w:tc>
          <w:tcPr>
            <w:tcW w:type="dxa" w:w="3216"/>
          </w:tcPr>
          <w:p>
            <w:r>
              <w:rPr>
                <w:sz w:val="19"/>
              </w:rPr>
            </w:r>
            <w:r>
              <w:rPr>
                <w:sz w:val="19"/>
              </w:rPr>
              <w:t>Violation rate per agent</w:t>
            </w:r>
          </w:p>
        </w:tc>
        <w:tc>
          <w:tcPr>
            <w:tcW w:type="dxa" w:w="3216"/>
          </w:tcPr>
          <w:p>
            <w:r>
              <w:rPr>
                <w:sz w:val="19"/>
              </w:rPr>
            </w:r>
            <w:r>
              <w:rPr>
                <w:sz w:val="19"/>
              </w:rPr>
              <w:t>Identifies problematic agents</w:t>
            </w:r>
          </w:p>
        </w:tc>
        <w:tc>
          <w:tcPr>
            <w:tcW w:type="dxa" w:w="3216"/>
          </w:tcPr>
          <w:p>
            <w:r>
              <w:rPr>
                <w:sz w:val="19"/>
              </w:rPr>
            </w:r>
            <w:r>
              <w:rPr>
                <w:sz w:val="19"/>
              </w:rPr>
              <w:t>&lt; 1 per quarter</w:t>
            </w:r>
          </w:p>
        </w:tc>
      </w:tr>
      <w:tr>
        <w:tc>
          <w:tcPr>
            <w:tcW w:type="dxa" w:w="3216"/>
          </w:tcPr>
          <w:p>
            <w:r>
              <w:rPr>
                <w:sz w:val="19"/>
              </w:rPr>
            </w:r>
            <w:r>
              <w:rPr>
                <w:sz w:val="19"/>
              </w:rPr>
              <w:t>False positive rate</w:t>
            </w:r>
          </w:p>
        </w:tc>
        <w:tc>
          <w:tcPr>
            <w:tcW w:type="dxa" w:w="3216"/>
          </w:tcPr>
          <w:p>
            <w:r>
              <w:rPr>
                <w:sz w:val="19"/>
              </w:rPr>
            </w:r>
            <w:r>
              <w:rPr>
                <w:sz w:val="19"/>
              </w:rPr>
              <w:t>Detection system accuracy</w:t>
            </w:r>
          </w:p>
        </w:tc>
        <w:tc>
          <w:tcPr>
            <w:tcW w:type="dxa" w:w="3216"/>
          </w:tcPr>
          <w:p>
            <w:r>
              <w:rPr>
                <w:sz w:val="19"/>
              </w:rPr>
            </w:r>
            <w:r>
              <w:rPr>
                <w:sz w:val="19"/>
              </w:rPr>
              <w:t>&lt; 5%</w:t>
            </w:r>
          </w:p>
        </w:tc>
      </w:tr>
      <w:tr>
        <w:tc>
          <w:tcPr>
            <w:tcW w:type="dxa" w:w="3216"/>
          </w:tcPr>
          <w:p>
            <w:r>
              <w:rPr>
                <w:sz w:val="19"/>
              </w:rPr>
            </w:r>
            <w:r>
              <w:rPr>
                <w:sz w:val="19"/>
              </w:rPr>
              <w:t>Recurring violations</w:t>
            </w:r>
          </w:p>
        </w:tc>
        <w:tc>
          <w:tcPr>
            <w:tcW w:type="dxa" w:w="3216"/>
          </w:tcPr>
          <w:p>
            <w:r>
              <w:rPr>
                <w:sz w:val="19"/>
              </w:rPr>
            </w:r>
            <w:r>
              <w:rPr>
                <w:sz w:val="19"/>
              </w:rPr>
              <w:t>Same agent, same violation type</w:t>
            </w:r>
          </w:p>
        </w:tc>
        <w:tc>
          <w:tcPr>
            <w:tcW w:type="dxa" w:w="3216"/>
          </w:tcPr>
          <w:p>
            <w:r>
              <w:rPr>
                <w:sz w:val="19"/>
              </w:rPr>
            </w:r>
            <w:r>
              <w:rPr>
                <w:sz w:val="19"/>
              </w:rPr>
              <w:t>0 (should not recur)</w:t>
            </w:r>
          </w:p>
        </w:tc>
      </w:tr>
    </w:tbl>
    <w:p/>
    <w:p>
      <w:pPr>
        <w:pStyle w:val="Heading2"/>
      </w:pPr>
      <w:r>
        <w:t>13.7 Communication Templates</w:t>
      </w:r>
    </w:p>
    <w:p>
      <w:pPr>
        <w:pStyle w:val="Heading3"/>
      </w:pPr>
      <w:r>
        <w:t>Initial Notification (Internal)</w:t>
      </w:r>
    </w:p>
    <w:p>
      <w:pPr>
        <w:spacing w:after="160"/>
        <w:ind w:left="360"/>
      </w:pPr>
      <w:r>
        <w:rPr>
          <w:rFonts w:ascii="Courier New" w:hAnsi="Courier New"/>
          <w:sz w:val="17"/>
        </w:rPr>
        <w:t>RMACD POLICY VIOLATION DETECTED</w:t>
        <w:br/>
      </w:r>
      <w:r>
        <w:rPr>
          <w:rFonts w:ascii="Courier New" w:hAnsi="Courier New"/>
          <w:sz w:val="17"/>
        </w:rPr>
        <w:t>Severity: [P1-Critical | P2-High | P3-Medium | P4-Low]</w:t>
        <w:br/>
      </w:r>
      <w:r>
        <w:rPr>
          <w:rFonts w:ascii="Courier New" w:hAnsi="Courier New"/>
          <w:sz w:val="17"/>
        </w:rPr>
        <w:t>Agent: [agent-id]</w:t>
        <w:br/>
      </w:r>
      <w:r>
        <w:rPr>
          <w:rFonts w:ascii="Courier New" w:hAnsi="Courier New"/>
          <w:sz w:val="17"/>
        </w:rPr>
        <w:t>Violation: [category] - [brief description]</w:t>
        <w:br/>
      </w:r>
      <w:r>
        <w:rPr>
          <w:rFonts w:ascii="Courier New" w:hAnsi="Courier New"/>
          <w:sz w:val="17"/>
        </w:rPr>
        <w:t>Data Classification: [Public | Internal | Confidential | Restricted]</w:t>
        <w:br/>
      </w:r>
      <w:r>
        <w:rPr>
          <w:rFonts w:ascii="Courier New" w:hAnsi="Courier New"/>
          <w:sz w:val="17"/>
        </w:rPr>
        <w:t>Containment Status: [Contained | In Progress | Monitoring]</w:t>
        <w:br/>
      </w:r>
      <w:r>
        <w:rPr>
          <w:rFonts w:ascii="Courier New" w:hAnsi="Courier New"/>
          <w:sz w:val="17"/>
        </w:rPr>
        <w:t>Incident Lead: [name]</w:t>
        <w:br/>
      </w:r>
      <w:r>
        <w:rPr>
          <w:rFonts w:ascii="Courier New" w:hAnsi="Courier New"/>
          <w:sz w:val="17"/>
        </w:rPr>
        <w:t>Bridge/Channel: [link]</w:t>
      </w:r>
    </w:p>
    <w:p>
      <w:pPr>
        <w:pStyle w:val="Heading3"/>
      </w:pPr>
      <w:r>
        <w:t>Stakeholder Update</w:t>
      </w:r>
    </w:p>
    <w:p>
      <w:pPr>
        <w:spacing w:after="160"/>
        <w:ind w:left="360"/>
      </w:pPr>
      <w:r>
        <w:rPr>
          <w:rFonts w:ascii="Courier New" w:hAnsi="Courier New"/>
          <w:sz w:val="17"/>
        </w:rPr>
        <w:t>RMACD INCIDENT UPDATE - [incident-id]</w:t>
        <w:br/>
      </w:r>
      <w:r>
        <w:rPr>
          <w:rFonts w:ascii="Courier New" w:hAnsi="Courier New"/>
          <w:sz w:val="17"/>
        </w:rPr>
        <w:t>Status: [Investigating | Contained | Remediated | Closed]</w:t>
        <w:br/>
      </w:r>
      <w:r>
        <w:rPr>
          <w:rFonts w:ascii="Courier New" w:hAnsi="Courier New"/>
          <w:sz w:val="17"/>
        </w:rPr>
        <w:t>Impact Summary: [brief description]</w:t>
        <w:br/>
      </w:r>
      <w:r>
        <w:rPr>
          <w:rFonts w:ascii="Courier New" w:hAnsi="Courier New"/>
          <w:sz w:val="17"/>
        </w:rPr>
        <w:t>Affected Systems: [list]</w:t>
        <w:br/>
      </w:r>
      <w:r>
        <w:rPr>
          <w:rFonts w:ascii="Courier New" w:hAnsi="Courier New"/>
          <w:sz w:val="17"/>
        </w:rPr>
        <w:t>Current Actions: [what's being done]</w:t>
        <w:br/>
      </w:r>
      <w:r>
        <w:rPr>
          <w:rFonts w:ascii="Courier New" w:hAnsi="Courier New"/>
          <w:sz w:val="17"/>
        </w:rPr>
        <w:t>ETA to Resolution: [timeframe]</w:t>
        <w:br/>
      </w:r>
      <w:r>
        <w:rPr>
          <w:rFonts w:ascii="Courier New" w:hAnsi="Courier New"/>
          <w:sz w:val="17"/>
        </w:rPr>
        <w:t>Next Update: [time]</w:t>
      </w:r>
    </w:p>
    <w:p>
      <w:pPr>
        <w:pStyle w:val="Heading1"/>
      </w:pPr>
      <w:r>
        <w:t>14. Conclusion: ITIL for the Agentic Era</w:t>
      </w:r>
    </w:p>
    <w:p>
      <w:r>
        <w:t>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r>
        <w:t>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r>
        <w:t>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r>
        <w:t>The key innovations of the RMACD Framework include:</w:t>
      </w:r>
    </w:p>
    <w:p>
      <w:pPr>
        <w:pStyle w:val="ListBullet"/>
      </w:pPr>
      <w:r>
        <w:rPr>
          <w:b/>
        </w:rPr>
        <w:t>The Read Foundation:</w:t>
      </w:r>
      <w:r>
        <w:t xml:space="preserve"> Adding Read as an explicit operational tier enables safe agent onboarding, continuous monitoring use cases, and progressive trust building</w:t>
      </w:r>
    </w:p>
    <w:p>
      <w:pPr>
        <w:pStyle w:val="ListBullet"/>
      </w:pPr>
      <w:r>
        <w:rPr>
          <w:b/>
        </w:rPr>
        <w:t>Three-Dimensional Integration:</w:t>
      </w:r>
      <w:r>
        <w:t xml:space="preserve"> The combination of operations, data classification, and autonomy controls provides unambiguous governance guidance for any agent-data-operation scenario</w:t>
      </w:r>
    </w:p>
    <w:p>
      <w:pPr>
        <w:pStyle w:val="ListBullet"/>
      </w:pPr>
      <w:r>
        <w:rPr>
          <w:b/>
        </w:rPr>
        <w:t>Operational Depth:</w:t>
      </w:r>
      <w:r>
        <w:t xml:space="preserve"> Detailed guidance for each RMACD tier (Read, Move, Add, Change, Delete) including risk profiles, safeguards, agent patterns, and anti-patterns</w:t>
      </w:r>
    </w:p>
    <w:p>
      <w:pPr>
        <w:pStyle w:val="ListBullet"/>
      </w:pPr>
      <w:r>
        <w:rPr>
          <w:b/>
        </w:rPr>
        <w:t>ITIL Heritage:</w:t>
      </w:r>
      <w:r>
        <w:t xml:space="preserve"> Building on forty years of MACD operational vocabulary ensures enterprise IT teams can immediately understand and implement the framework</w:t>
      </w:r>
    </w:p>
    <w:p>
      <w:pPr>
        <w:pStyle w:val="ListBullet"/>
      </w:pPr>
      <w:r>
        <w:rPr>
          <w:b/>
        </w:rPr>
        <w:t>Compliance Alignment:</w:t>
      </w:r>
      <w:r>
        <w:t xml:space="preserve"> Natural mapping to GDPR, HIPAA, PCI-DSS, SOX, and other regulatory frameworks simplifies compliance demonstration</w:t>
      </w:r>
    </w:p>
    <w:p>
      <w:r>
        <w:t>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r>
        <w:t>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rPr>
          <w:i/>
        </w:rPr>
        <w:t>RMACD Framework v1.2.1</w:t>
      </w:r>
    </w:p>
    <w:p>
      <w:r>
        <w:rPr>
          <w:i/>
        </w:rPr>
        <w:t>Conceived and authored by Kash, January 2026</w:t>
      </w:r>
    </w:p>
    <w:p>
      <w:r>
        <w:rPr>
          <w:i/>
        </w:rPr>
        <w:t>Released under Creative Commons Attribution 4.0 (CC BY 4.0)</w:t>
      </w:r>
    </w:p>
    <w:p>
      <w:pPr>
        <w:pStyle w:val="Heading1"/>
      </w:pPr>
      <w:r>
        <w:t>Appendix A: Quick Reference Card</w:t>
      </w:r>
    </w:p>
    <w:p>
      <w:r>
        <w:t>The following condensed reference captures the essential RMACD governance matrix for rapid consultation:</w:t>
      </w:r>
    </w:p>
    <w:p>
      <w:r>
        <w:rPr>
          <w:b/>
        </w:rPr>
        <w:t>RMACD GOVERNANCE MATRIX - QUICK REFERENCE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w:t>
            </w:r>
          </w:p>
        </w:tc>
        <w:tc>
          <w:tcPr>
            <w:tcW w:type="dxa" w:w="1930"/>
          </w:tcPr>
          <w:p>
            <w:r>
              <w:rPr>
                <w:sz w:val="19"/>
              </w:rPr>
            </w:r>
            <w:r>
              <w:rPr>
                <w:sz w:val="19"/>
              </w:rPr>
              <w:t>AUTO</w:t>
            </w:r>
          </w:p>
        </w:tc>
        <w:tc>
          <w:tcPr>
            <w:tcW w:type="dxa" w:w="1930"/>
          </w:tcPr>
          <w:p>
            <w:r>
              <w:rPr>
                <w:sz w:val="19"/>
              </w:rPr>
            </w:r>
            <w:r>
              <w:rPr>
                <w:sz w:val="19"/>
              </w:rPr>
              <w:t>LOG</w:t>
            </w:r>
          </w:p>
        </w:tc>
        <w:tc>
          <w:tcPr>
            <w:tcW w:type="dxa" w:w="1930"/>
          </w:tcPr>
          <w:p>
            <w:r>
              <w:rPr>
                <w:sz w:val="19"/>
              </w:rPr>
            </w:r>
            <w:r>
              <w:rPr>
                <w:sz w:val="19"/>
              </w:rPr>
              <w:t>NOTIFY</w:t>
            </w:r>
          </w:p>
        </w:tc>
      </w:tr>
      <w:tr>
        <w:tc>
          <w:tcPr>
            <w:tcW w:type="dxa" w:w="1930"/>
          </w:tcPr>
          <w:p>
            <w:r>
              <w:rPr>
                <w:sz w:val="19"/>
              </w:rPr>
            </w:r>
            <w:r>
              <w:rPr>
                <w:sz w:val="19"/>
              </w:rPr>
              <w:t>MOVE</w:t>
            </w:r>
          </w:p>
        </w:tc>
        <w:tc>
          <w:tcPr>
            <w:tcW w:type="dxa" w:w="1930"/>
          </w:tcPr>
          <w:p>
            <w:r>
              <w:rPr>
                <w:sz w:val="19"/>
              </w:rPr>
            </w:r>
            <w:r>
              <w:rPr>
                <w:sz w:val="19"/>
              </w:rPr>
              <w:t>AUTO</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r>
      <w:tr>
        <w:tc>
          <w:tcPr>
            <w:tcW w:type="dxa" w:w="1930"/>
          </w:tcPr>
          <w:p>
            <w:r>
              <w:rPr>
                <w:sz w:val="19"/>
              </w:rPr>
            </w:r>
            <w:r>
              <w:rPr>
                <w:sz w:val="19"/>
              </w:rPr>
              <w:t>ADD</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r>
      <w:tr>
        <w:tc>
          <w:tcPr>
            <w:tcW w:type="dxa" w:w="1930"/>
          </w:tcPr>
          <w:p>
            <w:r>
              <w:rPr>
                <w:sz w:val="19"/>
              </w:rPr>
            </w:r>
            <w:r>
              <w:rPr>
                <w:sz w:val="19"/>
              </w:rPr>
              <w:t>CHANGE</w:t>
            </w:r>
          </w:p>
        </w:tc>
        <w:tc>
          <w:tcPr>
            <w:tcW w:type="dxa" w:w="1930"/>
          </w:tcPr>
          <w:p>
            <w:r>
              <w:rPr>
                <w:sz w:val="19"/>
              </w:rPr>
            </w:r>
            <w:r>
              <w:rPr>
                <w:sz w:val="19"/>
              </w:rPr>
              <w:t>APPROVE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DELETE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c>
          <w:tcPr>
            <w:tcW w:type="dxa" w:w="1930"/>
          </w:tcPr>
          <w:p>
            <w:r>
              <w:rPr>
                <w:sz w:val="19"/>
              </w:rPr>
            </w:r>
            <w:r>
              <w:rPr>
                <w:sz w:val="19"/>
              </w:rPr>
              <w:t>PROHIBIT</w:t>
            </w:r>
          </w:p>
        </w:tc>
      </w:tr>
    </w:tbl>
    <w:p/>
    <w:p>
      <w:r>
        <w:rPr>
          <w:b/>
        </w:rPr>
        <w:t>Autonomy Level Key:</w:t>
      </w:r>
      <w:r>
        <w:t xml:space="preserve"> AUTO = Autonomous (no human required) | LOG = Autonomous + Enhanced Logging | NOTIFY = Human Notified | APPROVE = Approval Required | ELEVATED = CAB/Senior Approval | PROHIBIT = Human Only</w:t>
      </w:r>
    </w:p>
    <w:p>
      <w:r>
        <w:rPr>
          <w:b/>
        </w:rPr>
        <w:t>Operation Risk Hierarchy (Low → High):</w:t>
      </w:r>
      <w:r>
        <w:t xml:space="preserve"> Read → Move → Add → Change → Delete</w:t>
      </w:r>
    </w:p>
    <w:p>
      <w:r>
        <w:rPr>
          <w:b/>
        </w:rPr>
        <w:t>Data Sensitivity Hierarchy (Low → High):</w:t>
      </w:r>
      <w:r>
        <w:t xml:space="preserve"> Public → Internal → Confidential → Restricted</w:t>
      </w:r>
    </w:p>
    <w:p>
      <w:pPr>
        <w:pStyle w:val="Heading1"/>
      </w:pPr>
      <w:r>
        <w:t>Appendix B: Permission Profile Templates (JSON)</w:t>
      </w:r>
    </w:p>
    <w:p>
      <w:r>
        <w:t>The following JSON templates define machine-readable permission profiles that can be consumed by AI agentic platforms. These profiles encode the RMACD governance model in a format suitable for runtime policy enforcement.</w:t>
      </w:r>
    </w:p>
    <w:p>
      <w:pPr>
        <w:pStyle w:val="Heading2"/>
      </w:pPr>
      <w:r>
        <w:t>B.1 Profile Schema Definition</w:t>
      </w:r>
    </w:p>
    <w:p>
      <w:r>
        <w:t>Each permission profile follows a standardized schema that defines the agent's operational boundaries across data classifications: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"rmacd-3d-&lt;name&gt;-v1",</w:t>
        <w:br/>
      </w:r>
      <w:r>
        <w:rPr>
          <w:rFonts w:ascii="Courier New" w:hAnsi="Courier New"/>
          <w:sz w:val="17"/>
        </w:rPr>
        <w:t xml:space="preserve">  "profile_name": "string",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"string",</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"&lt;classification&gt;.&lt;operation&gt;": "&lt;autonomy_level&gt;"</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 "..." },</w:t>
        <w:br/>
      </w:r>
      <w:r>
        <w:rPr>
          <w:rFonts w:ascii="Courier New" w:hAnsi="Courier New"/>
          <w:sz w:val="17"/>
        </w:rPr>
        <w:t xml:space="preserve">    "rate_limits": { "..." },</w:t>
        <w:br/>
      </w:r>
      <w:r>
        <w:rPr>
          <w:rFonts w:ascii="Courier New" w:hAnsi="Courier New"/>
          <w:sz w:val="17"/>
        </w:rPr>
        <w:t xml:space="preserve">    "resource_quotas": { "..."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"ISO-8601",</w:t>
        <w:br/>
      </w:r>
      <w:r>
        <w:rPr>
          <w:rFonts w:ascii="Courier New" w:hAnsi="Courier New"/>
          <w:sz w:val="17"/>
        </w:rPr>
        <w:t xml:space="preserve">    "author": "string",</w:t>
        <w:br/>
      </w:r>
      <w:r>
        <w:rPr>
          <w:rFonts w:ascii="Courier New" w:hAnsi="Courier New"/>
          <w:sz w:val="17"/>
        </w:rPr>
        <w:t xml:space="preserve">    "approved_by": "string"</w:t>
        <w:br/>
      </w:r>
      <w:r>
        <w:rPr>
          <w:rFonts w:ascii="Courier New" w:hAnsi="Courier New"/>
          <w:sz w:val="17"/>
        </w:rPr>
        <w:t xml:space="preserve">  }</w:t>
        <w:br/>
      </w:r>
      <w:r>
        <w:rPr>
          <w:rFonts w:ascii="Courier New" w:hAnsi="Courier New"/>
          <w:sz w:val="17"/>
        </w:rPr>
        <w:t>}</w:t>
      </w:r>
    </w:p>
    <w:p>
      <w:pPr>
        <w:pStyle w:val="Heading2"/>
      </w:pPr>
      <w:r>
        <w:t>B.2 Observer Profile</w:t>
      </w:r>
    </w:p>
    <w:p>
      <w:r>
        <w:t>Read-only access across all data classifications. Ideal for monitoring, compliance auditing, and recommendation agents.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"rmacd-3d-observer-v1",</w:t>
        <w:br/>
      </w:r>
      <w:r>
        <w:rPr>
          <w:rFonts w:ascii="Courier New" w:hAnsi="Courier New"/>
          <w:sz w:val="17"/>
        </w:rPr>
        <w:t xml:space="preserve">  "profile_name": "Observer",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"Read-only monitoring and analysis agent",</w:t>
        <w:br/>
      </w:r>
      <w:r>
        <w:rPr>
          <w:rFonts w:ascii="Courier New" w:hAnsi="Courier New"/>
          <w:sz w:val="17"/>
        </w:rPr>
        <w:t xml:space="preserve">  "permissions": {</w:t>
        <w:br/>
      </w:r>
      <w:r>
        <w:rPr>
          <w:rFonts w:ascii="Courier New" w:hAnsi="Courier New"/>
          <w:sz w:val="17"/>
        </w:rPr>
        <w:t xml:space="preserve">    "public": ["R"],</w:t>
        <w:br/>
      </w:r>
      <w:r>
        <w:rPr>
          <w:rFonts w:ascii="Courier New" w:hAnsi="Courier New"/>
          <w:sz w:val="17"/>
        </w:rPr>
        <w:t xml:space="preserve">    "internal": ["R"],</w:t>
        <w:br/>
      </w:r>
      <w:r>
        <w:rPr>
          <w:rFonts w:ascii="Courier New" w:hAnsi="Courier New"/>
          <w:sz w:val="17"/>
        </w:rPr>
        <w:t xml:space="preserve">    "confidential": ["R"],</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"confidential.R": "logged",</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"rate_limits": {</w:t>
        <w:br/>
      </w:r>
      <w:r>
        <w:rPr>
          <w:rFonts w:ascii="Courier New" w:hAnsi="Courier New"/>
          <w:sz w:val="17"/>
        </w:rPr>
        <w:t xml:space="preserve">      "queries_per_minute": 100,</w:t>
        <w:br/>
      </w:r>
      <w:r>
        <w:rPr>
          <w:rFonts w:ascii="Courier New" w:hAnsi="Courier New"/>
          <w:sz w:val="17"/>
        </w:rPr>
        <w:t xml:space="preserve">      "data_volume_mb_per_hour": 500</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"security-team"</w:t>
        <w:br/>
      </w:r>
      <w:r>
        <w:rPr>
          <w:rFonts w:ascii="Courier New" w:hAnsi="Courier New"/>
          <w:sz w:val="17"/>
        </w:rPr>
        <w:t xml:space="preserve">  }</w:t>
        <w:br/>
      </w:r>
      <w:r>
        <w:rPr>
          <w:rFonts w:ascii="Courier New" w:hAnsi="Courier New"/>
          <w:sz w:val="17"/>
        </w:rPr>
        <w:t>}</w:t>
      </w:r>
    </w:p>
    <w:p>
      <w:pPr>
        <w:pStyle w:val="Heading2"/>
      </w:pPr>
      <w:r>
        <w:t>B.3 Logistics Profile</w:t>
      </w:r>
    </w:p>
    <w:p>
      <w:r>
        <w:t>Read and Move permissions for data transfer and workload balancing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"rmacd-3d-logistics-v1",</w:t>
        <w:br/>
      </w:r>
      <w:r>
        <w:rPr>
          <w:rFonts w:ascii="Courier New" w:hAnsi="Courier New"/>
          <w:sz w:val="17"/>
        </w:rPr>
        <w:t xml:space="preserve">  "profile_name": "Logistics",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"Data transfer and workload balancing agent",</w:t>
        <w:br/>
      </w:r>
      <w:r>
        <w:rPr>
          <w:rFonts w:ascii="Courier New" w:hAnsi="Courier New"/>
          <w:sz w:val="17"/>
        </w:rPr>
        <w:t xml:space="preserve">  "permissions": {</w:t>
        <w:br/>
      </w:r>
      <w:r>
        <w:rPr>
          <w:rFonts w:ascii="Courier New" w:hAnsi="Courier New"/>
          <w:sz w:val="17"/>
        </w:rPr>
        <w:t xml:space="preserve">    "public": ["R", "M"],</w:t>
        <w:br/>
      </w:r>
      <w:r>
        <w:rPr>
          <w:rFonts w:ascii="Courier New" w:hAnsi="Courier New"/>
          <w:sz w:val="17"/>
        </w:rPr>
        <w:t xml:space="preserve">    "internal": ["R", "M"],</w:t>
        <w:br/>
      </w:r>
      <w:r>
        <w:rPr>
          <w:rFonts w:ascii="Courier New" w:hAnsi="Courier New"/>
          <w:sz w:val="17"/>
        </w:rPr>
        <w:t xml:space="preserve">    "confidential": ["R"],</w:t>
        <w:br/>
      </w:r>
      <w:r>
        <w:rPr>
          <w:rFonts w:ascii="Courier New" w:hAnsi="Courier New"/>
          <w:sz w:val="17"/>
        </w:rPr>
        <w:t xml:space="preserve">    "restricted": []</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"notification",</w:t>
        <w:br/>
      </w:r>
      <w:r>
        <w:rPr>
          <w:rFonts w:ascii="Courier New" w:hAnsi="Courier New"/>
          <w:sz w:val="17"/>
        </w:rPr>
        <w:t xml:space="preserve">    "confidential.R": "logged"</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"allowed_destinations": [</w:t>
        <w:br/>
      </w:r>
      <w:r>
        <w:rPr>
          <w:rFonts w:ascii="Courier New" w:hAnsi="Courier New"/>
          <w:sz w:val="17"/>
        </w:rPr>
        <w:t xml:space="preserve">      "storage-tier-*",</w:t>
        <w:br/>
      </w:r>
      <w:r>
        <w:rPr>
          <w:rFonts w:ascii="Courier New" w:hAnsi="Courier New"/>
          <w:sz w:val="17"/>
        </w:rPr>
        <w:t xml:space="preserve">      "backup-region-*",</w:t>
        <w:br/>
      </w:r>
      <w:r>
        <w:rPr>
          <w:rFonts w:ascii="Courier New" w:hAnsi="Courier New"/>
          <w:sz w:val="17"/>
        </w:rPr>
        <w:t xml:space="preserve">      "dr-site-*"</w:t>
        <w:br/>
      </w:r>
      <w:r>
        <w:rPr>
          <w:rFonts w:ascii="Courier New" w:hAnsi="Courier New"/>
          <w:sz w:val="17"/>
        </w:rPr>
        <w:t xml:space="preserve">    ],</w:t>
        <w:br/>
      </w:r>
      <w:r>
        <w:rPr>
          <w:rFonts w:ascii="Courier New" w:hAnsi="Courier New"/>
          <w:sz w:val="17"/>
        </w:rPr>
        <w:t xml:space="preserve">    "prohibited_destinations": [</w:t>
        <w:br/>
      </w:r>
      <w:r>
        <w:rPr>
          <w:rFonts w:ascii="Courier New" w:hAnsi="Courier New"/>
          <w:sz w:val="17"/>
        </w:rPr>
        <w:t xml:space="preserve">      "external-*",</w:t>
        <w:br/>
      </w:r>
      <w:r>
        <w:rPr>
          <w:rFonts w:ascii="Courier New" w:hAnsi="Courier New"/>
          <w:sz w:val="17"/>
        </w:rPr>
        <w:t xml:space="preserve">      "public-*"</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"operations-team"</w:t>
        <w:br/>
      </w:r>
      <w:r>
        <w:rPr>
          <w:rFonts w:ascii="Courier New" w:hAnsi="Courier New"/>
          <w:sz w:val="17"/>
        </w:rPr>
        <w:t xml:space="preserve">  }</w:t>
        <w:br/>
      </w:r>
      <w:r>
        <w:rPr>
          <w:rFonts w:ascii="Courier New" w:hAnsi="Courier New"/>
          <w:sz w:val="17"/>
        </w:rPr>
        <w:t>}</w:t>
      </w:r>
    </w:p>
    <w:p>
      <w:pPr>
        <w:pStyle w:val="Heading2"/>
      </w:pPr>
      <w:r>
        <w:t>B.4 Provisioning Profile</w:t>
      </w:r>
    </w:p>
    <w:p>
      <w:r>
        <w:t>Read, Move, and Add permissions for resource provisioning and deployment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"rmacd-3d-provisioning-v1",</w:t>
        <w:br/>
      </w:r>
      <w:r>
        <w:rPr>
          <w:rFonts w:ascii="Courier New" w:hAnsi="Courier New"/>
          <w:sz w:val="17"/>
        </w:rPr>
        <w:t xml:space="preserve">  "profile_name": "Provisioning",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"Resource provisioning and deployment agent",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"public.A": "notification",</w:t>
        <w:br/>
      </w:r>
      <w:r>
        <w:rPr>
          <w:rFonts w:ascii="Courier New" w:hAnsi="Courier New"/>
          <w:sz w:val="17"/>
        </w:rPr>
        <w:t xml:space="preserve">    "internal.A": "approval",</w:t>
        <w:br/>
      </w:r>
      <w:r>
        <w:rPr>
          <w:rFonts w:ascii="Courier New" w:hAnsi="Courier New"/>
          <w:sz w:val="17"/>
        </w:rPr>
        <w:t xml:space="preserve">    "confidential.M": "approval",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w:t>
        <w:br/>
      </w:r>
      <w:r>
        <w:rPr>
          <w:rFonts w:ascii="Courier New" w:hAnsi="Courier New"/>
          <w:sz w:val="17"/>
        </w:rPr>
        <w:t xml:space="preserve">    "resource_quotas": {</w:t>
        <w:br/>
      </w:r>
      <w:r>
        <w:rPr>
          <w:rFonts w:ascii="Courier New" w:hAnsi="Courier New"/>
          <w:sz w:val="17"/>
        </w:rPr>
        <w:t xml:space="preserve">      "max_vms_per_request": 10,</w:t>
        <w:br/>
      </w:r>
      <w:r>
        <w:rPr>
          <w:rFonts w:ascii="Courier New" w:hAnsi="Courier New"/>
          <w:sz w:val="17"/>
        </w:rPr>
        <w:t xml:space="preserve">      "max_storage_gb_per_request": 500,</w:t>
        <w:br/>
      </w:r>
      <w:r>
        <w:rPr>
          <w:rFonts w:ascii="Courier New" w:hAnsi="Courier New"/>
          <w:sz w:val="17"/>
        </w:rPr>
        <w:t xml:space="preserve">      "max_monthly_cost_usd": 5000</w:t>
        <w:br/>
      </w:r>
      <w:r>
        <w:rPr>
          <w:rFonts w:ascii="Courier New" w:hAnsi="Courier New"/>
          <w:sz w:val="17"/>
        </w:rPr>
        <w:t xml:space="preserve">    },</w:t>
        <w:br/>
      </w:r>
      <w:r>
        <w:rPr>
          <w:rFonts w:ascii="Courier New" w:hAnsi="Courier New"/>
          <w:sz w:val="17"/>
        </w:rPr>
        <w:t xml:space="preserve">    "required_templates": [</w:t>
        <w:br/>
      </w:r>
      <w:r>
        <w:rPr>
          <w:rFonts w:ascii="Courier New" w:hAnsi="Courier New"/>
          <w:sz w:val="17"/>
        </w:rPr>
        <w:t xml:space="preserve">      "approved-vm-template-*",</w:t>
        <w:br/>
      </w:r>
      <w:r>
        <w:rPr>
          <w:rFonts w:ascii="Courier New" w:hAnsi="Courier New"/>
          <w:sz w:val="17"/>
        </w:rPr>
        <w:t xml:space="preserve">      "hardened-container-*"</w:t>
        <w:br/>
      </w:r>
      <w:r>
        <w:rPr>
          <w:rFonts w:ascii="Courier New" w:hAnsi="Courier New"/>
          <w:sz w:val="17"/>
        </w:rPr>
        <w:t xml:space="preserve">    ],</w:t>
        <w:br/>
      </w:r>
      <w:r>
        <w:rPr>
          <w:rFonts w:ascii="Courier New" w:hAnsi="Courier New"/>
          <w:sz w:val="17"/>
        </w:rPr>
        <w:t xml:space="preserve">    "auto_expiration_days": 30</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"cloud-governance"</w:t>
        <w:br/>
      </w:r>
      <w:r>
        <w:rPr>
          <w:rFonts w:ascii="Courier New" w:hAnsi="Courier New"/>
          <w:sz w:val="17"/>
        </w:rPr>
        <w:t xml:space="preserve">  }</w:t>
        <w:br/>
      </w:r>
      <w:r>
        <w:rPr>
          <w:rFonts w:ascii="Courier New" w:hAnsi="Courier New"/>
          <w:sz w:val="17"/>
        </w:rPr>
        <w:t>}</w:t>
      </w:r>
    </w:p>
    <w:p>
      <w:pPr>
        <w:pStyle w:val="Heading2"/>
      </w:pPr>
      <w:r>
        <w:t>B.5 Operations Profile</w:t>
      </w:r>
    </w:p>
    <w:p>
      <w:r>
        <w:t>Full operational capabilities except Delete for production change management.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"rmacd-3d-operations-v1",</w:t>
        <w:br/>
      </w:r>
      <w:r>
        <w:rPr>
          <w:rFonts w:ascii="Courier New" w:hAnsi="Courier New"/>
          <w:sz w:val="17"/>
        </w:rPr>
        <w:t xml:space="preserve">  "profile_name": "Operations",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"Production operations and change management agent",</w:t>
        <w:br/>
      </w:r>
      <w:r>
        <w:rPr>
          <w:rFonts w:ascii="Courier New" w:hAnsi="Courier New"/>
          <w:sz w:val="17"/>
        </w:rPr>
        <w:t xml:space="preserve">  "permissions": {</w:t>
        <w:br/>
      </w:r>
      <w:r>
        <w:rPr>
          <w:rFonts w:ascii="Courier New" w:hAnsi="Courier New"/>
          <w:sz w:val="17"/>
        </w:rPr>
        <w:t xml:space="preserve">    "public": ["R", "M", "A", "C"],</w:t>
        <w:br/>
      </w:r>
      <w:r>
        <w:rPr>
          <w:rFonts w:ascii="Courier New" w:hAnsi="Courier New"/>
          <w:sz w:val="17"/>
        </w:rPr>
        <w:t xml:space="preserve">    "internal": ["R", "M", "A", "C"],</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"public.C": "approval",</w:t>
        <w:br/>
      </w:r>
      <w:r>
        <w:rPr>
          <w:rFonts w:ascii="Courier New" w:hAnsi="Courier New"/>
          <w:sz w:val="17"/>
        </w:rPr>
        <w:t xml:space="preserve">    "internal.C": "approval",</w:t>
        <w:br/>
      </w:r>
      <w:r>
        <w:rPr>
          <w:rFonts w:ascii="Courier New" w:hAnsi="Courier New"/>
          <w:sz w:val="17"/>
        </w:rPr>
        <w:t xml:space="preserve">    "confidential.A": "elevated_approval",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w:t>
        <w:br/>
      </w:r>
      <w:r>
        <w:rPr>
          <w:rFonts w:ascii="Courier New" w:hAnsi="Courier New"/>
          <w:sz w:val="17"/>
        </w:rPr>
        <w:t xml:space="preserve">      "production_changes": {</w:t>
        <w:br/>
      </w:r>
      <w:r>
        <w:rPr>
          <w:rFonts w:ascii="Courier New" w:hAnsi="Courier New"/>
          <w:sz w:val="17"/>
        </w:rPr>
        <w:t xml:space="preserve">        "allowed_days": ["tuesday", "wednesday", "thursday"],</w:t>
        <w:br/>
      </w:r>
      <w:r>
        <w:rPr>
          <w:rFonts w:ascii="Courier New" w:hAnsi="Courier New"/>
          <w:sz w:val="17"/>
        </w:rPr>
        <w:t xml:space="preserve">        "allowed_hours_utc": { "start": "06:00", "end": "14:00" },</w:t>
        <w:br/>
      </w:r>
      <w:r>
        <w:rPr>
          <w:rFonts w:ascii="Courier New" w:hAnsi="Courier New"/>
          <w:sz w:val="17"/>
        </w:rPr>
        <w:t xml:space="preserve">        "blackout_dates": ["2026-12-24", "2026-12-25", "2026-12-31"]</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"change_controls": {</w:t>
        <w:br/>
      </w:r>
      <w:r>
        <w:rPr>
          <w:rFonts w:ascii="Courier New" w:hAnsi="Courier New"/>
          <w:sz w:val="17"/>
        </w:rPr>
        <w:t xml:space="preserve">      "require_backup_before_change": true,</w:t>
        <w:br/>
      </w:r>
      <w:r>
        <w:rPr>
          <w:rFonts w:ascii="Courier New" w:hAnsi="Courier New"/>
          <w:sz w:val="17"/>
        </w:rPr>
        <w:t xml:space="preserve">      "require_rollback_plan": true,</w:t>
        <w:br/>
      </w:r>
      <w:r>
        <w:rPr>
          <w:rFonts w:ascii="Courier New" w:hAnsi="Courier New"/>
          <w:sz w:val="17"/>
        </w:rPr>
        <w:t xml:space="preserve">      "max_blast_radius_percentage": 10,</w:t>
        <w:br/>
      </w:r>
      <w:r>
        <w:rPr>
          <w:rFonts w:ascii="Courier New" w:hAnsi="Courier New"/>
          <w:sz w:val="17"/>
        </w:rPr>
        <w:t xml:space="preserve">      "canary_deployment_required": true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"cab-committee"</w:t>
        <w:br/>
      </w:r>
      <w:r>
        <w:rPr>
          <w:rFonts w:ascii="Courier New" w:hAnsi="Courier New"/>
          <w:sz w:val="17"/>
        </w:rPr>
        <w:t xml:space="preserve">  }</w:t>
        <w:br/>
      </w:r>
      <w:r>
        <w:rPr>
          <w:rFonts w:ascii="Courier New" w:hAnsi="Courier New"/>
          <w:sz w:val="17"/>
        </w:rPr>
        <w:t>}</w:t>
      </w:r>
    </w:p>
    <w:p>
      <w:pPr>
        <w:pStyle w:val="Heading2"/>
      </w:pPr>
      <w:r>
        <w:t>B.6 Administrator Profile</w:t>
      </w:r>
    </w:p>
    <w:p>
      <w:r>
        <w:t>Maximum agent permissions with appropriate controls. Note: Restricted data C/D remains prohibited.</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"rmacd-3d-administrator-v1",</w:t>
        <w:br/>
      </w:r>
      <w:r>
        <w:rPr>
          <w:rFonts w:ascii="Courier New" w:hAnsi="Courier New"/>
          <w:sz w:val="17"/>
        </w:rPr>
        <w:t xml:space="preserve">  "profile_name": "Administrator",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"Full administrative agent with maximum permissions",</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"public.D": "approval",</w:t>
        <w:br/>
      </w:r>
      <w:r>
        <w:rPr>
          <w:rFonts w:ascii="Courier New" w:hAnsi="Courier New"/>
          <w:sz w:val="17"/>
        </w:rPr>
        <w:t xml:space="preserve">    "internal.D": "elevated_approval",</w:t>
        <w:br/>
      </w:r>
      <w:r>
        <w:rPr>
          <w:rFonts w:ascii="Courier New" w:hAnsi="Courier New"/>
          <w:sz w:val="17"/>
        </w:rPr>
        <w:t xml:space="preserve">    "confidential.C": "elevated_approval",</w:t>
        <w:br/>
      </w:r>
      <w:r>
        <w:rPr>
          <w:rFonts w:ascii="Courier New" w:hAnsi="Courier New"/>
          <w:sz w:val="17"/>
        </w:rPr>
        <w:t xml:space="preserve">    "restricted.M": "elevated_approval"</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"delete_controls": {</w:t>
        <w:br/>
      </w:r>
      <w:r>
        <w:rPr>
          <w:rFonts w:ascii="Courier New" w:hAnsi="Courier New"/>
          <w:sz w:val="17"/>
        </w:rPr>
        <w:t xml:space="preserve">      "soft_delete_grace_period_days": 7,</w:t>
        <w:br/>
      </w:r>
      <w:r>
        <w:rPr>
          <w:rFonts w:ascii="Courier New" w:hAnsi="Courier New"/>
          <w:sz w:val="17"/>
        </w:rPr>
        <w:t xml:space="preserve">      "require_dependency_check": true,</w:t>
        <w:br/>
      </w:r>
      <w:r>
        <w:rPr>
          <w:rFonts w:ascii="Courier New" w:hAnsi="Courier New"/>
          <w:sz w:val="17"/>
        </w:rPr>
        <w:t xml:space="preserve">      "require_legal_hold_check": true,</w:t>
        <w:br/>
      </w:r>
      <w:r>
        <w:rPr>
          <w:rFonts w:ascii="Courier New" w:hAnsi="Courier New"/>
          <w:sz w:val="17"/>
        </w:rPr>
        <w:t xml:space="preserve">      "two_person_rule_for_confidential": true</w:t>
        <w:br/>
      </w:r>
      <w:r>
        <w:rPr>
          <w:rFonts w:ascii="Courier New" w:hAnsi="Courier New"/>
          <w:sz w:val="17"/>
        </w:rPr>
        <w:t xml:space="preserve">    },</w:t>
        <w:br/>
      </w:r>
      <w:r>
        <w:rPr>
          <w:rFonts w:ascii="Courier New" w:hAnsi="Courier New"/>
          <w:sz w:val="17"/>
        </w:rPr>
        <w:t xml:space="preserve">    "audit_requirements": {</w:t>
        <w:br/>
      </w:r>
      <w:r>
        <w:rPr>
          <w:rFonts w:ascii="Courier New" w:hAnsi="Courier New"/>
          <w:sz w:val="17"/>
        </w:rPr>
        <w:t xml:space="preserve">      "enhanced_logging": true,</w:t>
        <w:br/>
      </w:r>
      <w:r>
        <w:rPr>
          <w:rFonts w:ascii="Courier New" w:hAnsi="Courier New"/>
          <w:sz w:val="17"/>
        </w:rPr>
        <w:t xml:space="preserve">      "real_time_alerts": ["confidential.*", "restricted.*"],</w:t>
        <w:br/>
      </w:r>
      <w:r>
        <w:rPr>
          <w:rFonts w:ascii="Courier New" w:hAnsi="Courier New"/>
          <w:sz w:val="17"/>
        </w:rPr>
        <w:t xml:space="preserve">      "retention_days": 365</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B.7 Custom Profile Example: Security Incident Response</w:t>
      </w:r>
    </w:p>
    <w:p>
      <w:r>
        <w:t>Specialized profile for security incident response with pre-authorized emergency permissions.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"rmacd-3d-security-ir-v1",</w:t>
        <w:br/>
      </w:r>
      <w:r>
        <w:rPr>
          <w:rFonts w:ascii="Courier New" w:hAnsi="Courier New"/>
          <w:sz w:val="17"/>
        </w:rPr>
        <w:t xml:space="preserve">  "profile_name": "Security Incident Response",</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"Emergency response agent for security incidents",</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["active_incident", "soc_declared_emergency"],</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"escalation_duration_minutes": 60,</w:t>
        <w:br/>
      </w:r>
      <w:r>
        <w:rPr>
          <w:rFonts w:ascii="Courier New" w:hAnsi="Courier New"/>
          <w:sz w:val="17"/>
        </w:rPr>
        <w:t xml:space="preserve">    "require_post_incident_review": true</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"isolate_compromised_asset",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"capture_forensic_snapshot",</w:t>
        <w:br/>
      </w:r>
      <w:r>
        <w:rPr>
          <w:rFonts w:ascii="Courier New" w:hAnsi="Courier New"/>
          <w:sz w:val="17"/>
        </w:rPr>
        <w:t xml:space="preserve">      "deploy_additional_monitoring"</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1"/>
      </w:pPr>
      <w:r>
        <w:t>Appendix C: Implementation Workflow</w:t>
      </w:r>
    </w:p>
    <w:p>
      <w:r>
        <w:t>This appendix describes how RMACD permission profiles are consumed by AI agentic platforms at runtime. The workflow covers profile loading, policy evaluation, execution control, and audit logging.</w:t>
      </w:r>
    </w:p>
    <w:p>
      <w:pPr>
        <w:pStyle w:val="Heading2"/>
      </w:pPr>
      <w:r>
        <w:t>C.1 High-Level Architecture</w:t>
      </w:r>
    </w:p>
    <w:p>
      <w:pPr>
        <w:jc w:val="center"/>
      </w:pPr>
      <w:r>
        <w:drawing>
          <wp:inline xmlns:a="http://schemas.openxmlformats.org/drawingml/2006/main" xmlns:pic="http://schemas.openxmlformats.org/drawingml/2006/picture">
            <wp:extent cx="5943600" cy="3757448"/>
            <wp:docPr id="1" name="Picture 1"/>
            <wp:cNvGraphicFramePr>
              <a:graphicFrameLocks noChangeAspect="1"/>
            </wp:cNvGraphicFramePr>
            <a:graphic>
              <a:graphicData uri="http://schemas.openxmlformats.org/drawingml/2006/picture">
                <pic:pic>
                  <pic:nvPicPr>
                    <pic:cNvPr id="0" name="RMACD_Runtime_Architecture.drawio.png"/>
                    <pic:cNvPicPr/>
                  </pic:nvPicPr>
                  <pic:blipFill>
                    <a:blip r:embed="rId9"/>
                    <a:stretch>
                      <a:fillRect/>
                    </a:stretch>
                  </pic:blipFill>
                  <pic:spPr>
                    <a:xfrm>
                      <a:off x="0" y="0"/>
                      <a:ext cx="5943600" cy="3757448"/>
                    </a:xfrm>
                    <a:prstGeom prst="rect"/>
                  </pic:spPr>
                </pic:pic>
              </a:graphicData>
            </a:graphic>
          </wp:inline>
        </w:drawing>
      </w:r>
    </w:p>
    <w:p>
      <w:r>
        <w:rPr>
          <w:i/>
        </w:rPr>
        <w:t>Source: [`RMACD_Runtime_Architecture.drawio`](RMACD_Runtime_Architecture.drawio). SDK class names are overlaid on each component.</w:t>
      </w:r>
    </w:p>
    <w:p>
      <w:r>
        <w:t>The RMACD enforcement architecture consists of four primary components that work together to govern agent operations:</w:t>
      </w:r>
    </w:p>
    <w:p>
      <w:pPr>
        <w:pStyle w:val="ListBullet"/>
      </w:pPr>
      <w:r>
        <w:rPr>
          <w:b/>
        </w:rPr>
        <w:t>Policy Store:</w:t>
      </w:r>
      <w:r>
        <w:t xml:space="preserve"> Central repository for RMACD permission profiles, governance matrices, and organizational customizations. Profiles are versioned and cryptographically signed to ensure integrity.</w:t>
      </w:r>
    </w:p>
    <w:p>
      <w:pPr>
        <w:pStyle w:val="ListBullet"/>
      </w:pPr>
      <w:r>
        <w:rPr>
          <w:b/>
        </w:rPr>
        <w:t>Policy Decision Point (PDP):</w:t>
      </w:r>
      <w:r>
        <w:t xml:space="preserve"> Runtime engine that evaluates agent operation requests against loaded profiles. The PDP determines the required autonomy level and whether the operation can proceed.</w:t>
      </w:r>
    </w:p>
    <w:p>
      <w:pPr>
        <w:pStyle w:val="ListBullet"/>
      </w:pPr>
      <w:r>
        <w:rPr>
          <w:b/>
        </w:rPr>
        <w:t>Policy Enforcement Point (PEP):</w:t>
      </w:r>
      <w:r>
        <w:t xml:space="preserve"> Integration layer that intercepts agent operations and enforces PDP decisions. The PEP can block, queue for approval, or allow operations based on policy.</w:t>
      </w:r>
    </w:p>
    <w:p>
      <w:pPr>
        <w:pStyle w:val="ListBullet"/>
      </w:pPr>
      <w:r>
        <w:rPr>
          <w:b/>
        </w:rPr>
        <w:t>Audit and Compliance Engine:</w:t>
      </w:r>
      <w:r>
        <w:t xml:space="preserve"> Logging infrastructure that captures all policy decisions, agent actions, and approval workflows for compliance reporting and forensic analysis.</w:t>
      </w:r>
    </w:p>
    <w:p>
      <w:pPr>
        <w:pStyle w:val="Heading2"/>
      </w:pPr>
      <w:r>
        <w:t>C.2 Runtime Evaluation Flow</w:t>
      </w:r>
    </w:p>
    <w:p>
      <w:r>
        <w:t>When an AI agent attempts an operation, the following evaluation sequence occurs:</w:t>
      </w:r>
    </w:p>
    <w:p>
      <w:pPr>
        <w:pStyle w:val="ListBullet"/>
      </w:pPr>
      <w:r>
        <w:t>Agent requests operation (e.g., 'CHANGE configuration on server-prod-01')</w:t>
      </w:r>
    </w:p>
    <w:p>
      <w:pPr>
        <w:pStyle w:val="ListBullet"/>
      </w:pPr>
      <w:r>
        <w:t>PEP intercepts request and extracts: operation type, target resource, data classification (in the reference SDK this extraction is the Tools Registry, §9.4 — static tool metadata plus an optional per-call dynamic classifier)</w:t>
      </w:r>
    </w:p>
    <w:p>
      <w:pPr>
        <w:pStyle w:val="ListBullet"/>
      </w:pPr>
      <w:r>
        <w:t>PEP queries PDP with: agent_id, profile_id, operation, resource_classification</w:t>
      </w:r>
    </w:p>
    <w:p>
      <w:pPr>
        <w:pStyle w:val="ListBullet"/>
      </w:pPr>
      <w:r>
        <w:t>PDP loads agent's assigned permission profile from Policy Store</w:t>
      </w:r>
    </w:p>
    <w:p>
      <w:pPr>
        <w:pStyle w:val="ListBullet"/>
      </w:pPr>
      <w:r>
        <w:t>PDP evaluates: Does profile grant this operation for this classification?</w:t>
      </w:r>
    </w:p>
    <w:p>
      <w:pPr>
        <w:pStyle w:val="ListBullet"/>
      </w:pPr>
      <w:r>
        <w:t>PDP determines required autonomy level from governance matrix</w:t>
      </w:r>
    </w:p>
    <w:p>
      <w:pPr>
        <w:pStyle w:val="ListBullet"/>
      </w:pPr>
      <w:r>
        <w:t>PDP checks constraints: environment, time window, rate limits, quotas</w:t>
      </w:r>
    </w:p>
    <w:p>
      <w:pPr>
        <w:pStyle w:val="ListBullet"/>
      </w:pPr>
      <w:r>
        <w:t>PDP returns decision: ALLOW, DENY, QUEUE_FOR_APPROVAL, or NOTIFY</w:t>
      </w:r>
    </w:p>
    <w:p>
      <w:pPr>
        <w:pStyle w:val="ListBullet"/>
      </w:pPr>
      <w:r>
        <w:t>PEP enforces decision and logs outcome to Audit Engine</w:t>
      </w:r>
    </w:p>
    <w:p>
      <w:pPr>
        <w:pStyle w:val="ListBullet"/>
      </w:pPr>
      <w:r>
        <w:t>If approval required: operation queued; approver notified; agent waits or times out</w:t>
      </w:r>
    </w:p>
    <w:p>
      <w:pPr>
        <w:pStyle w:val="Heading2"/>
      </w:pPr>
      <w:r>
        <w:t>C.3 Policy Decision Logic (Pseudocode)</w:t>
      </w:r>
    </w:p>
    <w:p>
      <w:r>
        <w:t>The following pseudocode illustrates the core policy evaluation algorithm:</w:t>
      </w:r>
    </w:p>
    <w:p>
      <w:pPr>
        <w:spacing w:after="160"/>
        <w:ind w:left="360"/>
      </w:pPr>
      <w:r>
        <w:rPr>
          <w:rFonts w:ascii="Courier New" w:hAnsi="Courier New"/>
          <w:sz w:val="17"/>
        </w:rPr>
        <w:t>function evaluateOperation(agent, operation, resource):</w:t>
        <w:br/>
      </w:r>
      <w:r>
        <w:rPr>
          <w:rFonts w:ascii="Courier New" w:hAnsi="Courier New"/>
          <w:sz w:val="17"/>
        </w:rPr>
        <w:t>profile = loadProfile(agent.profile_id)</w:t>
        <w:br/>
      </w:r>
      <w:r>
        <w:rPr>
          <w:rFonts w:ascii="Courier New" w:hAnsi="Courier New"/>
          <w:sz w:val="17"/>
        </w:rPr>
        <w:t>classification = resource.data_classification</w:t>
        <w:br/>
      </w:r>
      <w:r>
        <w:rPr>
          <w:rFonts w:ascii="Courier New" w:hAnsi="Courier New"/>
          <w:sz w:val="17"/>
        </w:rPr>
        <w:br/>
      </w:r>
      <w:r>
        <w:rPr>
          <w:rFonts w:ascii="Courier New" w:hAnsi="Courier New"/>
          <w:sz w:val="17"/>
        </w:rPr>
        <w:t># Step 1: Check if operation is permitted at all</w:t>
        <w:br/>
      </w:r>
      <w:r>
        <w:rPr>
          <w:rFonts w:ascii="Courier New" w:hAnsi="Courier New"/>
          <w:sz w:val="17"/>
        </w:rPr>
        <w:t>if operation not in profile.permissions[classification]:</w:t>
        <w:br/>
      </w:r>
      <w:r>
        <w:rPr>
          <w:rFonts w:ascii="Courier New" w:hAnsi="Courier New"/>
          <w:sz w:val="17"/>
        </w:rPr>
        <w:t>return DENY("Operation not permitted for classification")</w:t>
        <w:br/>
      </w:r>
      <w:r>
        <w:rPr>
          <w:rFonts w:ascii="Courier New" w:hAnsi="Courier New"/>
          <w:sz w:val="17"/>
        </w:rPr>
        <w:br/>
      </w:r>
      <w:r>
        <w:rPr>
          <w:rFonts w:ascii="Courier New" w:hAnsi="Courier New"/>
          <w:sz w:val="17"/>
        </w:rPr>
        <w:t># Step 2: Determine autonomy level</w:t>
        <w:br/>
      </w:r>
      <w:r>
        <w:rPr>
          <w:rFonts w:ascii="Courier New" w:hAnsi="Courier New"/>
          <w:sz w:val="17"/>
        </w:rPr>
        <w:t>override_key = f"{classification}.{operation}"</w:t>
        <w:br/>
      </w:r>
      <w:r>
        <w:rPr>
          <w:rFonts w:ascii="Courier New" w:hAnsi="Courier New"/>
          <w:sz w:val="17"/>
        </w:rPr>
        <w:t>if override_key in profile.autonomy_overrides:</w:t>
        <w:br/>
      </w:r>
      <w:r>
        <w:rPr>
          <w:rFonts w:ascii="Courier New" w:hAnsi="Courier New"/>
          <w:sz w:val="17"/>
        </w:rPr>
        <w:t>autonomy = profile.autonomy_overrides[override_key]</w:t>
        <w:br/>
      </w:r>
      <w:r>
        <w:rPr>
          <w:rFonts w:ascii="Courier New" w:hAnsi="Courier New"/>
          <w:sz w:val="17"/>
        </w:rPr>
        <w:t>else:</w:t>
        <w:br/>
      </w:r>
      <w:r>
        <w:rPr>
          <w:rFonts w:ascii="Courier New" w:hAnsi="Courier New"/>
          <w:sz w:val="17"/>
        </w:rPr>
        <w:t>autonomy = DEFAULT_GOVERNANCE_MATRIX[operation][classification]</w:t>
        <w:br/>
      </w:r>
      <w:r>
        <w:rPr>
          <w:rFonts w:ascii="Courier New" w:hAnsi="Courier New"/>
          <w:sz w:val="17"/>
        </w:rPr>
        <w:br/>
      </w:r>
      <w:r>
        <w:rPr>
          <w:rFonts w:ascii="Courier New" w:hAnsi="Courier New"/>
          <w:sz w:val="17"/>
        </w:rPr>
        <w:t># Step 3: Check if operation is prohibited</w:t>
        <w:br/>
      </w:r>
      <w:r>
        <w:rPr>
          <w:rFonts w:ascii="Courier New" w:hAnsi="Courier New"/>
          <w:sz w:val="17"/>
        </w:rPr>
        <w:t>if autonomy == "prohibited":</w:t>
        <w:br/>
      </w:r>
      <w:r>
        <w:rPr>
          <w:rFonts w:ascii="Courier New" w:hAnsi="Courier New"/>
          <w:sz w:val="17"/>
        </w:rPr>
        <w:t>return DENY("Operation prohibited for agents")</w:t>
        <w:br/>
      </w:r>
      <w:r>
        <w:rPr>
          <w:rFonts w:ascii="Courier New" w:hAnsi="Courier New"/>
          <w:sz w:val="17"/>
        </w:rPr>
        <w:br/>
      </w:r>
      <w:r>
        <w:rPr>
          <w:rFonts w:ascii="Courier New" w:hAnsi="Courier New"/>
          <w:sz w:val="17"/>
        </w:rPr>
        <w:t># Step 4: Validate constraints</w:t>
        <w:br/>
      </w:r>
      <w:r>
        <w:rPr>
          <w:rFonts w:ascii="Courier New" w:hAnsi="Courier New"/>
          <w:sz w:val="17"/>
        </w:rPr>
        <w:t>constraint_result = validateConstraints(profile, operation, resource)</w:t>
        <w:br/>
      </w:r>
      <w:r>
        <w:rPr>
          <w:rFonts w:ascii="Courier New" w:hAnsi="Courier New"/>
          <w:sz w:val="17"/>
        </w:rPr>
        <w:t>if constraint_result.failed:</w:t>
        <w:br/>
      </w:r>
      <w:r>
        <w:rPr>
          <w:rFonts w:ascii="Courier New" w:hAnsi="Courier New"/>
          <w:sz w:val="17"/>
        </w:rPr>
        <w:t>return DENY(constraint_result.reason)</w:t>
        <w:br/>
      </w:r>
      <w:r>
        <w:rPr>
          <w:rFonts w:ascii="Courier New" w:hAnsi="Courier New"/>
          <w:sz w:val="17"/>
        </w:rPr>
        <w:br/>
      </w:r>
      <w:r>
        <w:rPr>
          <w:rFonts w:ascii="Courier New" w:hAnsi="Courier New"/>
          <w:sz w:val="17"/>
        </w:rPr>
        <w:t># Step 5: Return decision based on autonomy level</w:t>
        <w:br/>
      </w:r>
      <w:r>
        <w:rPr>
          <w:rFonts w:ascii="Courier New" w:hAnsi="Courier New"/>
          <w:sz w:val="17"/>
        </w:rPr>
        <w:t>switch autonomy:</w:t>
        <w:br/>
      </w:r>
      <w:r>
        <w:rPr>
          <w:rFonts w:ascii="Courier New" w:hAnsi="Courier New"/>
          <w:sz w:val="17"/>
        </w:rPr>
        <w:t>case "autonomous":</w:t>
        <w:br/>
      </w:r>
      <w:r>
        <w:rPr>
          <w:rFonts w:ascii="Courier New" w:hAnsi="Courier New"/>
          <w:sz w:val="17"/>
        </w:rPr>
        <w:t>return ALLOW(log_level="standard")</w:t>
        <w:br/>
      </w:r>
      <w:r>
        <w:rPr>
          <w:rFonts w:ascii="Courier New" w:hAnsi="Courier New"/>
          <w:sz w:val="17"/>
        </w:rPr>
        <w:t>case "logged":</w:t>
        <w:br/>
      </w:r>
      <w:r>
        <w:rPr>
          <w:rFonts w:ascii="Courier New" w:hAnsi="Courier New"/>
          <w:sz w:val="17"/>
        </w:rPr>
        <w:t>return ALLOW(log_level="enhanced")</w:t>
        <w:br/>
      </w:r>
      <w:r>
        <w:rPr>
          <w:rFonts w:ascii="Courier New" w:hAnsi="Courier New"/>
          <w:sz w:val="17"/>
        </w:rPr>
        <w:t>case "notification":</w:t>
        <w:br/>
      </w:r>
      <w:r>
        <w:rPr>
          <w:rFonts w:ascii="Courier New" w:hAnsi="Courier New"/>
          <w:sz w:val="17"/>
        </w:rPr>
        <w:t>notifyStakeholders(agent, operation, resource)</w:t>
        <w:br/>
      </w:r>
      <w:r>
        <w:rPr>
          <w:rFonts w:ascii="Courier New" w:hAnsi="Courier New"/>
          <w:sz w:val="17"/>
        </w:rPr>
        <w:t>return ALLOW(log_level="enhanced")</w:t>
        <w:br/>
      </w:r>
      <w:r>
        <w:rPr>
          <w:rFonts w:ascii="Courier New" w:hAnsi="Courier New"/>
          <w:sz w:val="17"/>
        </w:rPr>
        <w:t>case "approval":</w:t>
        <w:br/>
      </w:r>
      <w:r>
        <w:rPr>
          <w:rFonts w:ascii="Courier New" w:hAnsi="Courier New"/>
          <w:sz w:val="17"/>
        </w:rPr>
        <w:t>return QUEUE_FOR_APPROVAL(approver="change_manager")</w:t>
        <w:br/>
      </w:r>
      <w:r>
        <w:rPr>
          <w:rFonts w:ascii="Courier New" w:hAnsi="Courier New"/>
          <w:sz w:val="17"/>
        </w:rPr>
        <w:t>case "elevated_approval":</w:t>
        <w:br/>
      </w:r>
      <w:r>
        <w:rPr>
          <w:rFonts w:ascii="Courier New" w:hAnsi="Courier New"/>
          <w:sz w:val="17"/>
        </w:rPr>
        <w:t>return QUEUE_FOR_APPROVAL(approver="cab_committee")</w:t>
      </w:r>
    </w:p>
    <w:p>
      <w:pPr>
        <w:pStyle w:val="Heading2"/>
      </w:pPr>
      <w:r>
        <w:t>C.4 Integration Patterns</w:t>
      </w:r>
    </w:p>
    <w:p>
      <w:r>
        <w:t>RMACD enforcement can be integrated with agentic platforms through several patterns:</w:t>
      </w:r>
    </w:p>
    <w:p>
      <w:pPr>
        <w:pStyle w:val="ListBullet"/>
      </w:pPr>
      <w:r>
        <w:rPr>
          <w:b/>
        </w:rPr>
        <w:t>SDK Integration:</w:t>
      </w:r>
      <w:r>
        <w:t xml:space="preserve"> Embed the RMACD SDK directly into the agent runtime. The SDK intercepts tool calls and API requests, evaluating each against the assigned profile before execution.</w:t>
      </w:r>
    </w:p>
    <w:p>
      <w:pPr>
        <w:spacing w:after="160"/>
        <w:ind w:left="360"/>
      </w:pPr>
      <w:r>
        <w:rPr>
          <w:rFonts w:ascii="Courier New" w:hAnsi="Courier New"/>
          <w:sz w:val="17"/>
        </w:rPr>
        <w:t># Python SDK Example (rmacd-framework)</w:t>
        <w:br/>
      </w:r>
      <w:r>
        <w:rPr>
          <w:rFonts w:ascii="Courier New" w:hAnsi="Courier New"/>
          <w:sz w:val="17"/>
        </w:rPr>
        <w:t>from rmacd import PolicyEnforcer, ProfileLoader</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profile=ProfileLoader().load_file("profiles/operations.json"),</w:t>
        <w:br/>
      </w:r>
      <w:r>
        <w:rPr>
          <w:rFonts w:ascii="Courier New" w:hAnsi="Courier New"/>
          <w:sz w:val="17"/>
        </w:rPr>
        <w:t xml:space="preserve">    agent_id="devops-agent-001",</w:t>
        <w:br/>
      </w:r>
      <w:r>
        <w:rPr>
          <w:rFonts w:ascii="Courier New" w:hAnsi="Courier New"/>
          <w:sz w:val="17"/>
        </w:rPr>
        <w:t>)</w:t>
        <w:br/>
      </w:r>
      <w:r>
        <w:rPr>
          <w:rFonts w:ascii="Courier New" w:hAnsi="Courier New"/>
          <w:sz w:val="17"/>
        </w:rPr>
        <w:br/>
      </w:r>
      <w:r>
        <w:rPr>
          <w:rFonts w:ascii="Courier New" w:hAnsi="Courier New"/>
          <w:sz w:val="17"/>
        </w:rPr>
        <w:t>@enforcer.guard(  # Decorator intercepts and evaluates before the body runs</w:t>
        <w:br/>
      </w:r>
      <w:r>
        <w:rPr>
          <w:rFonts w:ascii="Courier New" w:hAnsi="Courier New"/>
          <w:sz w:val="17"/>
        </w:rPr>
        <w:t xml:space="preserve">    operation="C",</w:t>
        <w:br/>
      </w:r>
      <w:r>
        <w:rPr>
          <w:rFonts w:ascii="Courier New" w:hAnsi="Courier New"/>
          <w:sz w:val="17"/>
        </w:rPr>
        <w:t xml:space="preserve">    classifier=lambda *, server_id, **_: (</w:t>
        <w:br/>
      </w:r>
      <w:r>
        <w:rPr>
          <w:rFonts w:ascii="Courier New" w:hAnsi="Courier New"/>
          <w:sz w:val="17"/>
        </w:rPr>
        <w:t xml:space="preserve">        f"server://{server_id}",</w:t>
        <w:br/>
      </w:r>
      <w:r>
        <w:rPr>
          <w:rFonts w:ascii="Courier New" w:hAnsi="Courier New"/>
          <w:sz w:val="17"/>
        </w:rPr>
        <w:t xml:space="preserve">        "confidential" if server_id.startswith("prod-") else "internal",</w:t>
        <w:br/>
      </w:r>
      <w:r>
        <w:rPr>
          <w:rFonts w:ascii="Courier New" w:hAnsi="Courier New"/>
          <w:sz w:val="17"/>
        </w:rPr>
        <w:t xml:space="preserve">    ),</w:t>
        <w:br/>
      </w:r>
      <w:r>
        <w:rPr>
          <w:rFonts w:ascii="Courier New" w:hAnsi="Courier New"/>
          <w:sz w:val="17"/>
        </w:rPr>
        <w:t>)</w:t>
        <w:br/>
      </w:r>
      <w:r>
        <w:rPr>
          <w:rFonts w:ascii="Courier New" w:hAnsi="Courier New"/>
          <w:sz w:val="17"/>
        </w:rPr>
        <w:t>def modify_config(*, server_id: str, config: dict):</w:t>
        <w:br/>
      </w:r>
      <w:r>
        <w:rPr>
          <w:rFonts w:ascii="Courier New" w:hAnsi="Courier New"/>
          <w:sz w:val="17"/>
        </w:rPr>
        <w:t xml:space="preserve">    """Agent function to modify server configuration."""</w:t>
        <w:br/>
      </w:r>
      <w:r>
        <w:rPr>
          <w:rFonts w:ascii="Courier New" w:hAnsi="Courier New"/>
          <w:sz w:val="17"/>
        </w:rPr>
        <w:t xml:space="preserve">    return infrastructure_api.update_config(server_id, config)</w:t>
        <w:br/>
      </w:r>
      <w:r>
        <w:rPr>
          <w:rFonts w:ascii="Courier New" w:hAnsi="Courier New"/>
          <w:sz w:val="17"/>
        </w:rPr>
        <w:br/>
      </w:r>
      <w:r>
        <w:rPr>
          <w:rFonts w:ascii="Courier New" w:hAnsi="Courier New"/>
          <w:sz w:val="17"/>
        </w:rPr>
        <w:t># Enforcement happens automatically:</w:t>
        <w:br/>
      </w:r>
      <w:r>
        <w:rPr>
          <w:rFonts w:ascii="Courier New" w:hAnsi="Courier New"/>
          <w:sz w:val="17"/>
        </w:rPr>
        <w:t># - If ALLOW: function executes normally</w:t>
        <w:br/>
      </w:r>
      <w:r>
        <w:rPr>
          <w:rFonts w:ascii="Courier New" w:hAnsi="Courier New"/>
          <w:sz w:val="17"/>
        </w:rPr>
        <w:t># - If DENY: a typed RMACDPolicyError subclass is raised</w:t>
        <w:br/>
      </w:r>
      <w:r>
        <w:rPr>
          <w:rFonts w:ascii="Courier New" w:hAnsi="Courier New"/>
          <w:sz w:val="17"/>
        </w:rPr>
        <w:t># - If approval-gated: routed through the ApprovalGateway first</w:t>
        <w:br/>
      </w:r>
      <w:r>
        <w:rPr>
          <w:rFonts w:ascii="Courier New" w:hAnsi="Courier New"/>
          <w:sz w:val="17"/>
        </w:rPr>
        <w:br/>
      </w:r>
      <w:r>
        <w:rPr>
          <w:rFonts w:ascii="Courier New" w:hAnsi="Courier New"/>
          <w:sz w:val="17"/>
        </w:rPr>
        <w:t># Alternatively, gate a framework's tool-call hook through the Tools</w:t>
        <w:br/>
      </w:r>
      <w:r>
        <w:rPr>
          <w:rFonts w:ascii="Courier New" w:hAnsi="Courier New"/>
          <w:sz w:val="17"/>
        </w:rPr>
        <w:t># Registry (§9.4) with a single call — no per-function decorators:</w:t>
        <w:br/>
      </w:r>
      <w:r>
        <w:rPr>
          <w:rFonts w:ascii="Courier New" w:hAnsi="Courier New"/>
          <w:sz w:val="17"/>
        </w:rPr>
        <w:t>#   enforcer.enforce_tool_call(tool_name, tool_args)</w:t>
      </w:r>
    </w:p>
    <w:p>
      <w:pPr>
        <w:pStyle w:val="ListBullet"/>
      </w:pPr>
      <w:r>
        <w:rPr>
          <w:b/>
        </w:rPr>
        <w:t>API Gateway Integration:</w:t>
      </w:r>
      <w:r>
        <w:t xml:space="preserve"> Deploy RMACD as a policy layer in the API gateway. All agent requests pass through the gateway, which evaluates permissions before forwarding to backend services.</w:t>
      </w:r>
    </w:p>
    <w:p>
      <w:pPr>
        <w:pStyle w:val="ListBullet"/>
      </w:pPr>
      <w:r>
        <w:rPr>
          <w:b/>
        </w:rPr>
        <w:t>Service Mesh Sidecar:</w:t>
      </w:r>
      <w:r>
        <w:t xml:space="preserve"> Deploy RMACD policy enforcement as a sidecar proxy alongside agent containers. The sidecar intercepts all outbound requests and applies policy decisions.</w:t>
      </w:r>
    </w:p>
    <w:p>
      <w:pPr>
        <w:pStyle w:val="ListBullet"/>
      </w:pPr>
      <w:r>
        <w:rPr>
          <w:b/>
        </w:rPr>
        <w:t>Event-Driven Integration:</w:t>
      </w:r>
      <w:r>
        <w:t xml:space="preserve"> For asynchronous agent operations, integrate RMACD with the message queue. The policy enforcer evaluates operations before messages are processed.</w:t>
      </w:r>
    </w:p>
    <w:p>
      <w:pPr>
        <w:pStyle w:val="Heading2"/>
      </w:pPr>
      <w:r>
        <w:t>C.5 Approval Workflow Integration</w:t>
      </w:r>
    </w:p>
    <w:p>
      <w:r>
        <w:t>When operations require human approval, RMACD integrates with existing workflow systems:</w:t>
      </w:r>
    </w:p>
    <w:p>
      <w:pPr>
        <w:spacing w:after="160"/>
        <w:ind w:left="360"/>
      </w:pPr>
      <w:r>
        <w:rPr>
          <w:rFonts w:ascii="Courier New" w:hAnsi="Courier New"/>
          <w:sz w:val="17"/>
        </w:rPr>
        <w:t>{</w:t>
        <w:br/>
      </w:r>
      <w:r>
        <w:rPr>
          <w:rFonts w:ascii="Courier New" w:hAnsi="Courier New"/>
          <w:sz w:val="17"/>
        </w:rPr>
        <w:t xml:space="preserve">  "approval_request": {</w:t>
        <w:br/>
      </w:r>
      <w:r>
        <w:rPr>
          <w:rFonts w:ascii="Courier New" w:hAnsi="Courier New"/>
          <w:sz w:val="17"/>
        </w:rPr>
        <w:t xml:space="preserve">    "request_id": "apr-20260110-001",</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"CHANGE",</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"description": "Update nginx worker_connections from 1024 to 2048"</w:t>
        <w:br/>
      </w:r>
      <w:r>
        <w:rPr>
          <w:rFonts w:ascii="Courier New" w:hAnsi="Courier New"/>
          <w:sz w:val="17"/>
        </w:rPr>
        <w:t xml:space="preserve">    },</w:t>
        <w:br/>
      </w:r>
      <w:r>
        <w:rPr>
          <w:rFonts w:ascii="Courier New" w:hAnsi="Courier New"/>
          <w:sz w:val="17"/>
        </w:rPr>
        <w:t xml:space="preserve">    "required_autonomy": "approval",</w:t>
        <w:br/>
      </w:r>
      <w:r>
        <w:rPr>
          <w:rFonts w:ascii="Courier New" w:hAnsi="Courier New"/>
          <w:sz w:val="17"/>
        </w:rPr>
        <w:t xml:space="preserve">    "approvers": ["change-manager@company.com"],</w:t>
        <w:br/>
      </w:r>
      <w:r>
        <w:rPr>
          <w:rFonts w:ascii="Courier New" w:hAnsi="Courier New"/>
          <w:sz w:val="17"/>
        </w:rPr>
        <w:t xml:space="preserve">    "timeout_minutes": 60,</w:t>
        <w:br/>
      </w:r>
      <w:r>
        <w:rPr>
          <w:rFonts w:ascii="Courier New" w:hAnsi="Courier New"/>
          <w:sz w:val="17"/>
        </w:rPr>
        <w:t xml:space="preserve">    "created_at": "2026-01-10T14:30:00Z",</w:t>
        <w:br/>
      </w:r>
      <w:r>
        <w:rPr>
          <w:rFonts w:ascii="Courier New" w:hAnsi="Courier New"/>
          <w:sz w:val="17"/>
        </w:rPr>
        <w:t xml:space="preserve">    "context": {</w:t>
        <w:br/>
      </w:r>
      <w:r>
        <w:rPr>
          <w:rFonts w:ascii="Courier New" w:hAnsi="Courier New"/>
          <w:sz w:val="17"/>
        </w:rPr>
        <w:t xml:space="preserve">      "reason": "Performance optimization for increased traffic",</w:t>
        <w:br/>
      </w:r>
      <w:r>
        <w:rPr>
          <w:rFonts w:ascii="Courier New" w:hAnsi="Courier New"/>
          <w:sz w:val="17"/>
        </w:rPr>
        <w:t xml:space="preserve">      "rollback_plan": "Revert to backup nginx.conf.bak",</w:t>
        <w:br/>
      </w:r>
      <w:r>
        <w:rPr>
          <w:rFonts w:ascii="Courier New" w:hAnsi="Courier New"/>
          <w:sz w:val="17"/>
        </w:rPr>
        <w:t xml:space="preserve">      "impact_assessment": "Low - affects single server"</w:t>
        <w:br/>
      </w:r>
      <w:r>
        <w:rPr>
          <w:rFonts w:ascii="Courier New" w:hAnsi="Courier New"/>
          <w:sz w:val="17"/>
        </w:rPr>
        <w:t xml:space="preserve">    }</w:t>
        <w:br/>
      </w:r>
      <w:r>
        <w:rPr>
          <w:rFonts w:ascii="Courier New" w:hAnsi="Courier New"/>
          <w:sz w:val="17"/>
        </w:rPr>
        <w:t xml:space="preserve">  }</w:t>
        <w:br/>
      </w:r>
      <w:r>
        <w:rPr>
          <w:rFonts w:ascii="Courier New" w:hAnsi="Courier New"/>
          <w:sz w:val="17"/>
        </w:rPr>
        <w:t>}</w:t>
      </w:r>
    </w:p>
    <w:p>
      <w:r>
        <w:t>Approval requests can be routed to ServiceNow, Jira, Slack, Microsoft Teams, or custom workflow systems via webhooks and API integrations.</w:t>
      </w:r>
    </w:p>
    <w:p>
      <w:pPr>
        <w:pStyle w:val="Heading2"/>
      </w:pPr>
      <w:r>
        <w:t>C.6 Audit Log Format</w:t>
      </w:r>
    </w:p>
    <w:p>
      <w:r>
        <w:t>All policy decisions and agent operations generate structured audit logs for compliance:</w:t>
      </w:r>
    </w:p>
    <w:p>
      <w:pPr>
        <w:spacing w:after="160"/>
        <w:ind w:left="360"/>
      </w:pPr>
      <w:r>
        <w:rPr>
          <w:rFonts w:ascii="Courier New" w:hAnsi="Courier New"/>
          <w:sz w:val="17"/>
        </w:rPr>
        <w:t>{</w:t>
        <w:br/>
      </w:r>
      <w:r>
        <w:rPr>
          <w:rFonts w:ascii="Courier New" w:hAnsi="Courier New"/>
          <w:sz w:val="17"/>
        </w:rPr>
        <w:t xml:space="preserve">  "audit_record": {</w:t>
        <w:br/>
      </w:r>
      <w:r>
        <w:rPr>
          <w:rFonts w:ascii="Courier New" w:hAnsi="Courier New"/>
          <w:sz w:val="17"/>
        </w:rPr>
        <w:t xml:space="preserve">    "record_id": "aud-20260110-143022-001",</w:t>
        <w:br/>
      </w:r>
      <w:r>
        <w:rPr>
          <w:rFonts w:ascii="Courier New" w:hAnsi="Courier New"/>
          <w:sz w:val="17"/>
        </w:rPr>
        <w:t xml:space="preserve">    "timestamp": "2026-01-10T14:30:22.456Z",</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"CHANGE",</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w:t>
        <w:br/>
      </w:r>
      <w:r>
        <w:rPr>
          <w:rFonts w:ascii="Courier New" w:hAnsi="Courier New"/>
          <w:sz w:val="17"/>
        </w:rPr>
        <w:t xml:space="preserve">    "policy_decision": {</w:t>
        <w:br/>
      </w:r>
      <w:r>
        <w:rPr>
          <w:rFonts w:ascii="Courier New" w:hAnsi="Courier New"/>
          <w:sz w:val="17"/>
        </w:rPr>
        <w:t xml:space="preserve">      "result": "ALLOW",</w:t>
        <w:br/>
      </w:r>
      <w:r>
        <w:rPr>
          <w:rFonts w:ascii="Courier New" w:hAnsi="Courier New"/>
          <w:sz w:val="17"/>
        </w:rPr>
        <w:t xml:space="preserve">      "autonomy_level": "approval",</w:t>
        <w:br/>
      </w:r>
      <w:r>
        <w:rPr>
          <w:rFonts w:ascii="Courier New" w:hAnsi="Courier New"/>
          <w:sz w:val="17"/>
        </w:rPr>
        <w:t xml:space="preserve">      "approval_id": "apr-20260110-001",</w:t>
        <w:br/>
      </w:r>
      <w:r>
        <w:rPr>
          <w:rFonts w:ascii="Courier New" w:hAnsi="Courier New"/>
          <w:sz w:val="17"/>
        </w:rPr>
        <w:t xml:space="preserve">      "approved_by": "john.smith@company.com",</w:t>
        <w:br/>
      </w:r>
      <w:r>
        <w:rPr>
          <w:rFonts w:ascii="Courier New" w:hAnsi="Courier New"/>
          <w:sz w:val="17"/>
        </w:rPr>
        <w:t xml:space="preserve">      "approved_at": "2026-01-10T14:28:00Z"</w:t>
        <w:br/>
      </w:r>
      <w:r>
        <w:rPr>
          <w:rFonts w:ascii="Courier New" w:hAnsi="Courier New"/>
          <w:sz w:val="17"/>
        </w:rPr>
        <w:t xml:space="preserve">    },</w:t>
        <w:br/>
      </w:r>
      <w:r>
        <w:rPr>
          <w:rFonts w:ascii="Courier New" w:hAnsi="Courier New"/>
          <w:sz w:val="17"/>
        </w:rPr>
        <w:t xml:space="preserve">    "execution": {</w:t>
        <w:br/>
      </w:r>
      <w:r>
        <w:rPr>
          <w:rFonts w:ascii="Courier New" w:hAnsi="Courier New"/>
          <w:sz w:val="17"/>
        </w:rPr>
        <w:t xml:space="preserve">      "status": "SUCCESS",</w:t>
        <w:br/>
      </w:r>
      <w:r>
        <w:rPr>
          <w:rFonts w:ascii="Courier New" w:hAnsi="Courier New"/>
          <w:sz w:val="17"/>
        </w:rPr>
        <w:t xml:space="preserve">      "duration_ms": 1250,</w:t>
        <w:br/>
      </w:r>
      <w:r>
        <w:rPr>
          <w:rFonts w:ascii="Courier New" w:hAnsi="Courier New"/>
          <w:sz w:val="17"/>
        </w:rPr>
        <w:t xml:space="preserve">      "rollback_available": true</w:t>
        <w:br/>
      </w:r>
      <w:r>
        <w:rPr>
          <w:rFonts w:ascii="Courier New" w:hAnsi="Courier New"/>
          <w:sz w:val="17"/>
        </w:rPr>
        <w:t xml:space="preserve">    },</w:t>
        <w:br/>
      </w:r>
      <w:r>
        <w:rPr>
          <w:rFonts w:ascii="Courier New" w:hAnsi="Courier New"/>
          <w:sz w:val="17"/>
        </w:rPr>
        <w:t xml:space="preserve">    "compliance_tags": ["SOX", "ISO27001"]</w:t>
        <w:br/>
      </w:r>
      <w:r>
        <w:rPr>
          <w:rFonts w:ascii="Courier New" w:hAnsi="Courier New"/>
          <w:sz w:val="17"/>
        </w:rPr>
        <w:t xml:space="preserve">  }</w:t>
        <w:br/>
      </w:r>
      <w:r>
        <w:rPr>
          <w:rFonts w:ascii="Courier New" w:hAnsi="Courier New"/>
          <w:sz w:val="17"/>
        </w:rPr>
        <w:t>}</w:t>
      </w:r>
    </w:p>
    <w:p>
      <w:pPr>
        <w:pStyle w:val="Heading2"/>
      </w:pPr>
      <w:r>
        <w:t>C.7 Deployment Checklist</w:t>
      </w:r>
    </w:p>
    <w:p>
      <w:r>
        <w:t>Organizations implementing RMACD should complete the following deployment steps:</w:t>
      </w:r>
    </w:p>
    <w:p>
      <w:pPr>
        <w:pStyle w:val="ListBullet"/>
      </w:pPr>
      <w:r>
        <w:rPr>
          <w:b/>
        </w:rPr>
        <w:t>Profile Assignment:</w:t>
      </w:r>
      <w:r>
        <w:t xml:space="preserve"> Map each AI agent to an appropriate RMACD permission profile based on its intended function and risk tolerance.</w:t>
      </w:r>
    </w:p>
    <w:p>
      <w:pPr>
        <w:pStyle w:val="ListBullet"/>
      </w:pPr>
      <w:r>
        <w:rPr>
          <w:b/>
        </w:rPr>
        <w:t>Data Classification Tagging:</w:t>
      </w:r>
      <w:r>
        <w:t xml:space="preserve"> Ensure all data sources, APIs, and resources are tagged with their data classification (Public, Internal, Confidential, Restricted).</w:t>
      </w:r>
    </w:p>
    <w:p>
      <w:pPr>
        <w:pStyle w:val="ListBullet"/>
      </w:pPr>
      <w:r>
        <w:rPr>
          <w:b/>
        </w:rPr>
        <w:t>Policy Store Deployment:</w:t>
      </w:r>
      <w:r>
        <w:t xml:space="preserve"> Deploy the central policy store with high availability and access controls appropriate for security infrastructure.</w:t>
      </w:r>
    </w:p>
    <w:p>
      <w:pPr>
        <w:pStyle w:val="ListBullet"/>
      </w:pPr>
      <w:r>
        <w:rPr>
          <w:b/>
        </w:rPr>
        <w:t>PDP/PEP Integration:</w:t>
      </w:r>
      <w:r>
        <w:t xml:space="preserve"> Integrate policy decision and enforcement points with agent runtimes using the appropriate integration pattern.</w:t>
      </w:r>
    </w:p>
    <w:p>
      <w:pPr>
        <w:pStyle w:val="ListBullet"/>
      </w:pPr>
      <w:r>
        <w:rPr>
          <w:b/>
        </w:rPr>
        <w:t>Approval Workflow Configuration:</w:t>
      </w:r>
      <w:r>
        <w:t xml:space="preserve"> Configure approval routing to appropriate stakeholders and integrate with existing ticketing systems.</w:t>
      </w:r>
    </w:p>
    <w:p>
      <w:pPr>
        <w:pStyle w:val="ListBullet"/>
      </w:pPr>
      <w:r>
        <w:rPr>
          <w:b/>
        </w:rPr>
        <w:t>Audit Pipeline Setup:</w:t>
      </w:r>
      <w:r>
        <w:t xml:space="preserve"> Establish audit log collection, retention, and alerting according to compliance requirements.</w:t>
      </w:r>
    </w:p>
    <w:p>
      <w:pPr>
        <w:pStyle w:val="ListBullet"/>
      </w:pPr>
      <w:r>
        <w:rPr>
          <w:b/>
        </w:rPr>
        <w:t>Testing and Validation:</w:t>
      </w:r>
      <w:r>
        <w:t xml:space="preserve"> Test all permission profiles in non-production environments before enabling enforcement in production.</w:t>
      </w:r>
    </w:p>
    <w:p>
      <w:pPr>
        <w:pStyle w:val="ListBullet"/>
      </w:pPr>
      <w:r>
        <w:rPr>
          <w:b/>
        </w:rPr>
        <w:t>Monitoring and Alerting:</w:t>
      </w:r>
      <w:r>
        <w:t xml:space="preserve"> Configure dashboards and alerts for policy violations, approval backlogs, and unusual agent behavior patterns.</w:t>
      </w:r>
    </w:p>
    <w:p>
      <w:pPr>
        <w:pStyle w:val="Heading2"/>
      </w:pPr>
      <w:r>
        <w:t>C.8 Companion Runtime Documentation</w:t>
      </w:r>
    </w:p>
    <w:p>
      <w:r>
        <w:t xml:space="preserve">The architecture and pseudocode in this Appendix describe </w:t>
      </w:r>
      <w:r>
        <w:rPr>
          <w:i/>
        </w:rPr>
        <w:t>what</w:t>
      </w:r>
      <w:r>
        <w:t xml:space="preserve"> the</w:t>
      </w:r>
    </w:p>
    <w:p>
      <w:r>
        <w:t xml:space="preserve">enforcement layer does. Two companion documents in </w:t>
      </w:r>
      <w:r>
        <w:rPr>
          <w:rFonts w:ascii="Courier New" w:hAnsi="Courier New"/>
          <w:sz w:val="19"/>
        </w:rPr>
        <w:t>docs/</w:t>
      </w:r>
      <w:r>
        <w:t xml:space="preserve"> describe</w:t>
      </w:r>
    </w:p>
    <w:p>
      <w:r>
        <w:rPr>
          <w:i/>
        </w:rPr>
        <w:t>how</w:t>
      </w:r>
      <w:r>
        <w:t xml:space="preserve"> an integrator wires it together at the call site:</w:t>
      </w:r>
    </w:p>
    <w:p>
      <w:pPr>
        <w:pStyle w:val="ListBullet"/>
      </w:pPr>
      <w:r>
        <w:rPr>
          <w:b/>
        </w:rPr>
        <w:t>`docs/runtime-patterns.md`</w:t>
      </w:r>
      <w:r>
        <w:t xml:space="preserve"> — profile binding, resource</w:t>
      </w:r>
    </w:p>
    <w:p>
      <w:r>
        <w:t>classification lookup, dynamic operation classification, approval-wait</w:t>
      </w:r>
    </w:p>
    <w:p>
      <w:r>
        <w:t>semantics for LLM tool calls, SDK error contract, agent self-restriction</w:t>
      </w:r>
    </w:p>
    <w:p>
      <w:r>
        <w:t>prompts, and DC2D runtime enforcement.</w:t>
      </w:r>
    </w:p>
    <w:p>
      <w:pPr>
        <w:pStyle w:val="ListBullet"/>
      </w:pPr>
      <w:r>
        <w:rPr>
          <w:b/>
        </w:rPr>
        <w:t>`docs/framework-adapters.md`</w:t>
      </w:r>
      <w:r>
        <w:t xml:space="preserve"> — copy-pasteable integration code for</w:t>
      </w:r>
    </w:p>
    <w:p>
      <w:r>
        <w:t>LangChain, AutoGen, CrewAI, plus a generic dispatch-site pattern for</w:t>
      </w:r>
    </w:p>
    <w:p>
      <w:r>
        <w:t>any other framework.</w:t>
      </w:r>
    </w:p>
    <w:p>
      <w:pPr>
        <w:pStyle w:val="Heading1"/>
      </w:pPr>
      <w:r>
        <w:t>Appendix D: The Data-Classification Two-Dimensional Variant (DC2D)</w:t>
      </w:r>
    </w:p>
    <w:p>
      <w:pPr>
        <w:pStyle w:val="Heading2"/>
      </w:pPr>
      <w:r>
        <w:t>D.1 Motivation</w:t>
      </w:r>
    </w:p>
    <w:p>
      <w:r>
        <w:t xml:space="preserve">The Three-Dimensional model (Operations × Data Classification × Autonomy) and the operational Two-Dimensional model (Operations × Autonomy, see schema </w:t>
      </w:r>
      <w:r>
        <w:rPr>
          <w:rFonts w:ascii="Courier New" w:hAnsi="Courier New"/>
          <w:sz w:val="19"/>
        </w:rPr>
        <w:t>profile-2d.json</w:t>
      </w:r>
      <w:r>
        <w:t xml:space="preserve">) cover the majority of enterprise deployments. A third deployment shape exists in practice but has not previously been articulated as a named framework variant: organizations whose </w:t>
      </w:r>
      <w:r>
        <w:rPr>
          <w:b/>
        </w:rPr>
        <w:t>primary governance lever is data sensitivity</w:t>
      </w:r>
      <w:r>
        <w:t>, where operational permissions are already governed elsewhere — typically by IAM/RBAC, DLP, or platform-native policy.</w:t>
      </w:r>
    </w:p>
    <w:p>
      <w:r>
        <w:t>Indicators that an organization is a candidate for the DC2D variant include:</w:t>
      </w:r>
    </w:p>
    <w:p>
      <w:pPr>
        <w:pStyle w:val="ListBullet"/>
      </w:pPr>
      <w:r>
        <w:t>Mature data classification programme (ISO/IEC 27001 Annex A.5.12, NIST SP 800-60) is already authoritative.</w:t>
      </w:r>
    </w:p>
    <w:p>
      <w:pPr>
        <w:pStyle w:val="ListBullet"/>
      </w:pPr>
      <w:r>
        <w:t>AI agent operational permissions are bounded by an existing identity layer (e.g., Microsoft Entra, Okta, Salesforce profiles) and are not re-litigated at the agent governance layer.</w:t>
      </w:r>
    </w:p>
    <w:p>
      <w:pPr>
        <w:pStyle w:val="ListBullet"/>
      </w:pPr>
      <w:r>
        <w:t xml:space="preserve">Inline enforcement is delivered by an AI-DLP, gateway, or trust-layer product (e.g., Microsoft Purview, Salesforce Einstein Trust Layer, AWS Bedrock Guardrails + Macie, Cloudflare AI Gateway, Databricks Unity Catalog) for which the missing artefact is a </w:t>
      </w:r>
      <w:r>
        <w:rPr>
          <w:i/>
        </w:rPr>
        <w:t>named, versioned policy profile</w:t>
      </w:r>
      <w:r>
        <w:t>, not an enforcement engine.</w:t>
      </w:r>
    </w:p>
    <w:p>
      <w:pPr>
        <w:pStyle w:val="ListBullet"/>
      </w:pPr>
      <w:r>
        <w:t xml:space="preserve">Regulatory drivers (HIPAA, PCI-DSS, GDPR Art. 9) are framed in terms of </w:t>
      </w:r>
      <w:r>
        <w:rPr>
          <w:i/>
        </w:rPr>
        <w:t>what data the agent touches</w:t>
      </w:r>
      <w:r>
        <w:t xml:space="preserve">, not </w:t>
      </w:r>
      <w:r>
        <w:rPr>
          <w:i/>
        </w:rPr>
        <w:t>what verbs it issues</w:t>
      </w:r>
      <w:r>
        <w:t>.</w:t>
      </w:r>
    </w:p>
    <w:p>
      <w:r>
        <w:t>The DC2D variant makes the Data Classification × Autonomy pairing explicit and portable, so that organizations with this deployment shape can express agent governance in a single profile rather than composing it ad hoc across multiple products.</w:t>
      </w:r>
    </w:p>
    <w:p>
      <w:pPr>
        <w:pStyle w:val="Heading2"/>
      </w:pPr>
      <w:r>
        <w:t>D.2 Relationship to the 2D and 3D Models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Variant</w:t>
            </w:r>
          </w:p>
        </w:tc>
        <w:tc>
          <w:tcPr>
            <w:tcW w:type="dxa" w:w="3216"/>
          </w:tcPr>
          <w:p>
            <w:r>
              <w:rPr>
                <w:b/>
                <w:sz w:val="19"/>
              </w:rPr>
            </w:r>
            <w:r>
              <w:rPr>
                <w:b/>
                <w:sz w:val="19"/>
              </w:rPr>
              <w:t>Axes</w:t>
            </w:r>
          </w:p>
        </w:tc>
        <w:tc>
          <w:tcPr>
            <w:tcW w:type="dxa" w:w="3216"/>
          </w:tcPr>
          <w:p>
            <w:r>
              <w:rPr>
                <w:b/>
                <w:sz w:val="19"/>
              </w:rPr>
            </w:r>
            <w:r>
              <w:rPr>
                <w:b/>
                <w:sz w:val="19"/>
              </w:rPr>
              <w:t>Best For</w:t>
            </w:r>
          </w:p>
        </w:tc>
      </w:tr>
      <w:tr>
        <w:tc>
          <w:tcPr>
            <w:tcW w:type="dxa" w:w="3216"/>
          </w:tcPr>
          <w:p>
            <w:r>
              <w:rPr>
                <w:sz w:val="19"/>
              </w:rPr>
            </w:r>
            <w:r>
              <w:rPr>
                <w:b/>
                <w:sz w:val="19"/>
              </w:rPr>
              <w:t>3D</w:t>
            </w:r>
          </w:p>
        </w:tc>
        <w:tc>
          <w:tcPr>
            <w:tcW w:type="dxa" w:w="3216"/>
          </w:tcPr>
          <w:p>
            <w:r>
              <w:rPr>
                <w:sz w:val="19"/>
              </w:rPr>
            </w:r>
            <w:r>
              <w:rPr>
                <w:sz w:val="19"/>
              </w:rPr>
              <w:t>Operations × Data Classification × Autonomy</w:t>
            </w:r>
          </w:p>
        </w:tc>
        <w:tc>
          <w:tcPr>
            <w:tcW w:type="dxa" w:w="3216"/>
          </w:tcPr>
          <w:p>
            <w:r>
              <w:rPr>
                <w:sz w:val="19"/>
              </w:rPr>
            </w:r>
            <w:r>
              <w:rPr>
                <w:sz w:val="19"/>
              </w:rPr>
              <w:t>Default. Organizations with both formal classification and granular operational governance needs.</w:t>
            </w:r>
          </w:p>
        </w:tc>
      </w:tr>
      <w:tr>
        <w:tc>
          <w:tcPr>
            <w:tcW w:type="dxa" w:w="3216"/>
          </w:tcPr>
          <w:p>
            <w:r>
              <w:rPr>
                <w:sz w:val="19"/>
              </w:rPr>
            </w:r>
            <w:r>
              <w:rPr>
                <w:b/>
                <w:sz w:val="19"/>
              </w:rPr>
              <w:t>2D (Operational)</w:t>
            </w:r>
          </w:p>
        </w:tc>
        <w:tc>
          <w:tcPr>
            <w:tcW w:type="dxa" w:w="3216"/>
          </w:tcPr>
          <w:p>
            <w:r>
              <w:rPr>
                <w:sz w:val="19"/>
              </w:rPr>
            </w:r>
            <w:r>
              <w:rPr>
                <w:sz w:val="19"/>
              </w:rPr>
              <w:t>Operations × Autonomy</w:t>
            </w:r>
          </w:p>
        </w:tc>
        <w:tc>
          <w:tcPr>
            <w:tcW w:type="dxa" w:w="3216"/>
          </w:tcPr>
          <w:p>
            <w:r>
              <w:rPr>
                <w:sz w:val="19"/>
              </w:rPr>
            </w:r>
            <w:r>
              <w:rPr>
                <w:sz w:val="19"/>
              </w:rPr>
              <w:t>Organizations without formal data classification tiers.</w:t>
            </w:r>
          </w:p>
        </w:tc>
      </w:tr>
      <w:tr>
        <w:tc>
          <w:tcPr>
            <w:tcW w:type="dxa" w:w="3216"/>
          </w:tcPr>
          <w:p>
            <w:r>
              <w:rPr>
                <w:sz w:val="19"/>
              </w:rPr>
            </w:r>
            <w:r>
              <w:rPr>
                <w:b/>
                <w:sz w:val="19"/>
              </w:rPr>
              <w:t>2D (Data-Classification, DC2D)</w:t>
            </w:r>
          </w:p>
        </w:tc>
        <w:tc>
          <w:tcPr>
            <w:tcW w:type="dxa" w:w="3216"/>
          </w:tcPr>
          <w:p>
            <w:r>
              <w:rPr>
                <w:sz w:val="19"/>
              </w:rPr>
            </w:r>
            <w:r>
              <w:rPr>
                <w:sz w:val="19"/>
              </w:rPr>
              <w:t>Data Classification × Autonomy</w:t>
            </w:r>
          </w:p>
        </w:tc>
        <w:tc>
          <w:tcPr>
            <w:tcW w:type="dxa" w:w="3216"/>
          </w:tcPr>
          <w:p>
            <w:r>
              <w:rPr>
                <w:sz w:val="19"/>
              </w:rPr>
            </w:r>
            <w:r>
              <w:rPr>
                <w:sz w:val="19"/>
              </w:rPr>
              <w:t>Organizations whose primary governance lever is data sensitivity; operations are governed by an upstream identity or DLP layer.</w:t>
            </w:r>
          </w:p>
        </w:tc>
      </w:tr>
    </w:tbl>
    <w:p/>
    <w:p>
      <w:r>
        <w:t>DC2D is not a replacement for the 3D model; it is a deliberate projection that drops the operations axis when that axis is being enforced elsewhere. Organizations should select 3D where feasible.</w:t>
      </w:r>
    </w:p>
    <w:p>
      <w:pPr>
        <w:pStyle w:val="Heading2"/>
      </w:pPr>
      <w:r>
        <w:t>D.3 The DC2D Governance Matrix</w:t>
      </w:r>
    </w:p>
    <w:p>
      <w:r>
        <w:t>The DC2D matrix collapses to a single row because autonomy is determined solely by the classification of data accessed: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Recommended Default</w:t>
            </w:r>
          </w:p>
        </w:tc>
        <w:tc>
          <w:tcPr>
            <w:tcW w:type="dxa" w:w="2412"/>
          </w:tcPr>
          <w:p>
            <w:r>
              <w:rPr>
                <w:b/>
                <w:sz w:val="19"/>
              </w:rPr>
            </w:r>
            <w:r>
              <w:rPr>
                <w:b/>
                <w:sz w:val="19"/>
              </w:rPr>
              <w:t>Acceptable Range</w:t>
            </w:r>
          </w:p>
        </w:tc>
        <w:tc>
          <w:tcPr>
            <w:tcW w:type="dxa" w:w="2412"/>
          </w:tcPr>
          <w:p>
            <w:r>
              <w:rPr>
                <w:b/>
                <w:sz w:val="19"/>
              </w:rPr>
            </w:r>
            <w:r>
              <w:rPr>
                <w:b/>
                <w:sz w:val="19"/>
              </w:rPr>
              <w:t>Typical Coverage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Autonomous → Logged</w:t>
            </w:r>
          </w:p>
        </w:tc>
        <w:tc>
          <w:tcPr>
            <w:tcW w:type="dxa" w:w="2412"/>
          </w:tcPr>
          <w:p>
            <w:r>
              <w:rPr>
                <w:sz w:val="19"/>
              </w:rPr>
            </w:r>
            <w:r>
              <w:rPr>
                <w:sz w:val="19"/>
              </w:rPr>
              <w:t>Marketing copy, public documentation, open data</w:t>
            </w:r>
          </w:p>
        </w:tc>
      </w:tr>
      <w:tr>
        <w:tc>
          <w:tcPr>
            <w:tcW w:type="dxa" w:w="2412"/>
          </w:tcPr>
          <w:p>
            <w:r>
              <w:rPr>
                <w:sz w:val="19"/>
              </w:rPr>
            </w:r>
            <w:r>
              <w:rPr>
                <w:sz w:val="19"/>
              </w:rPr>
              <w:t>Internal</w:t>
            </w:r>
          </w:p>
        </w:tc>
        <w:tc>
          <w:tcPr>
            <w:tcW w:type="dxa" w:w="2412"/>
          </w:tcPr>
          <w:p>
            <w:r>
              <w:rPr>
                <w:sz w:val="19"/>
              </w:rPr>
            </w:r>
            <w:r>
              <w:rPr>
                <w:sz w:val="19"/>
              </w:rPr>
              <w:t>Logged</w:t>
            </w:r>
          </w:p>
        </w:tc>
        <w:tc>
          <w:tcPr>
            <w:tcW w:type="dxa" w:w="2412"/>
          </w:tcPr>
          <w:p>
            <w:r>
              <w:rPr>
                <w:sz w:val="19"/>
              </w:rPr>
            </w:r>
            <w:r>
              <w:rPr>
                <w:sz w:val="19"/>
              </w:rPr>
              <w:t>Logged → Notification</w:t>
            </w:r>
          </w:p>
        </w:tc>
        <w:tc>
          <w:tcPr>
            <w:tcW w:type="dxa" w:w="2412"/>
          </w:tcPr>
          <w:p>
            <w:r>
              <w:rPr>
                <w:sz w:val="19"/>
              </w:rPr>
            </w:r>
            <w:r>
              <w:rPr>
                <w:sz w:val="19"/>
              </w:rPr>
              <w:t>Internal wikis, non-sensitive operational data</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Notification → Approval</w:t>
            </w:r>
          </w:p>
        </w:tc>
        <w:tc>
          <w:tcPr>
            <w:tcW w:type="dxa" w:w="2412"/>
          </w:tcPr>
          <w:p>
            <w:r>
              <w:rPr>
                <w:sz w:val="19"/>
              </w:rPr>
            </w:r>
            <w:r>
              <w:rPr>
                <w:sz w:val="19"/>
              </w:rPr>
              <w:t>PII, customer records, financial data</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Approval → Prohibited</w:t>
            </w:r>
          </w:p>
        </w:tc>
        <w:tc>
          <w:tcPr>
            <w:tcW w:type="dxa" w:w="2412"/>
          </w:tcPr>
          <w:p>
            <w:r>
              <w:rPr>
                <w:sz w:val="19"/>
              </w:rPr>
            </w:r>
            <w:r>
              <w:rPr>
                <w:sz w:val="19"/>
              </w:rPr>
              <w:t>PHI, PCI, secrets, GDPR Article 9 special categories</w:t>
            </w:r>
          </w:p>
        </w:tc>
      </w:tr>
    </w:tbl>
    <w:p/>
    <w:p>
      <w:r>
        <w:rPr>
          <w:b/>
        </w:rPr>
        <w:t>Defaults rationale.</w:t>
      </w:r>
      <w:r>
        <w:t xml:space="preserve"> 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r>
        <w:rPr>
          <w:b/>
        </w:rPr>
        <w:t>Deviation discipline.</w:t>
      </w:r>
      <w:r>
        <w:t xml:space="preserve"> Any tier whose autonomy stance falls outside the acceptable range, or where </w:t>
      </w:r>
      <w:r>
        <w:rPr>
          <w:rFonts w:ascii="Courier New" w:hAnsi="Courier New"/>
          <w:sz w:val="19"/>
        </w:rPr>
        <w:t>allowed: false</w:t>
      </w:r>
      <w:r>
        <w:t xml:space="preserve"> is set for tiers below Restricted, must include a written </w:t>
      </w:r>
      <w:r>
        <w:rPr>
          <w:rFonts w:ascii="Courier New" w:hAnsi="Courier New"/>
          <w:sz w:val="19"/>
        </w:rPr>
        <w:t>justification</w:t>
      </w:r>
      <w:r>
        <w:t xml:space="preserve"> in the profile and be reviewed by the same authority that approves 3D profile exceptions (see Section 12).</w:t>
      </w:r>
    </w:p>
    <w:p>
      <w:pPr>
        <w:pStyle w:val="Heading2"/>
      </w:pPr>
      <w:r>
        <w:t>D.4 Profile Schema Identifier</w:t>
      </w:r>
    </w:p>
    <w:p>
      <w:r>
        <w:t>DC2D profiles are validated against the schema at:</w:t>
      </w:r>
    </w:p>
    <w:p>
      <w:pPr>
        <w:spacing w:after="160"/>
        <w:ind w:left="360"/>
      </w:pPr>
      <w:r>
        <w:rPr>
          <w:rFonts w:ascii="Courier New" w:hAnsi="Courier New"/>
          <w:sz w:val="17"/>
        </w:rPr>
        <w:t>https://rmacd-framework.org/schema/v1/profile-dc2d.json</w:t>
      </w:r>
    </w:p>
    <w:p>
      <w:r>
        <w:t xml:space="preserve">Profile IDs follow the pattern </w:t>
      </w:r>
      <w:r>
        <w:rPr>
          <w:rFonts w:ascii="Courier New" w:hAnsi="Courier New"/>
          <w:sz w:val="19"/>
        </w:rPr>
        <w:t>^rmacd-dc2d-[a-z0-9-]+$</w:t>
      </w:r>
      <w:r>
        <w:t xml:space="preserve"> to disambiguate them from operational 2D profiles (</w:t>
      </w:r>
      <w:r>
        <w:rPr>
          <w:rFonts w:ascii="Courier New" w:hAnsi="Courier New"/>
          <w:sz w:val="19"/>
        </w:rPr>
        <w:t>rmacd-2d-*</w:t>
      </w:r>
      <w:r>
        <w:t>) and 3D profiles (</w:t>
      </w:r>
      <w:r>
        <w:rPr>
          <w:rFonts w:ascii="Courier New" w:hAnsi="Courier New"/>
          <w:sz w:val="19"/>
        </w:rPr>
        <w:t>rmacd-3d-*</w:t>
      </w:r>
      <w:r>
        <w:t>).</w:t>
      </w:r>
    </w:p>
    <w:p>
      <w:pPr>
        <w:pStyle w:val="Heading2"/>
      </w:pPr>
      <w:r>
        <w:t>D.5 What DC2D Intentionally Omits</w:t>
      </w:r>
    </w:p>
    <w:p>
      <w:r>
        <w:t xml:space="preserve">The following fields from the 3D and operational 2D models are </w:t>
      </w:r>
      <w:r>
        <w:rPr>
          <w:b/>
        </w:rPr>
        <w:t>absent by design</w:t>
      </w:r>
      <w:r>
        <w:t xml:space="preserve"> in DC2D, because they are operation-specific:</w:t>
      </w:r>
    </w:p>
    <w:p>
      <w:pPr>
        <w:pStyle w:val="ListBullet"/>
      </w:pPr>
      <w:r>
        <w:rPr>
          <w:rFonts w:ascii="Courier New" w:hAnsi="Courier New"/>
          <w:sz w:val="19"/>
        </w:rPr>
        <w:t>permissions</w:t>
      </w:r>
      <w:r>
        <w:t xml:space="preserve"> (the RMACD verb set)</w:t>
      </w:r>
    </w:p>
    <w:p>
      <w:pPr>
        <w:pStyle w:val="ListBullet"/>
      </w:pPr>
      <w:r>
        <w:rPr>
          <w:rFonts w:ascii="Courier New" w:hAnsi="Courier New"/>
          <w:sz w:val="19"/>
        </w:rPr>
        <w:t>change_controls</w:t>
      </w:r>
      <w:r>
        <w:t xml:space="preserve"> (backup/rollback/blast-radius for Change operations)</w:t>
      </w:r>
    </w:p>
    <w:p>
      <w:pPr>
        <w:pStyle w:val="ListBullet"/>
      </w:pPr>
      <w:r>
        <w:rPr>
          <w:rFonts w:ascii="Courier New" w:hAnsi="Courier New"/>
          <w:sz w:val="19"/>
        </w:rPr>
        <w:t>delete_controls</w:t>
      </w:r>
      <w:r>
        <w:t xml:space="preserve"> (soft-delete grace, dependency check, legal-hold for Delete operations)</w:t>
      </w:r>
    </w:p>
    <w:p>
      <w:pPr>
        <w:pStyle w:val="ListBullet"/>
      </w:pPr>
      <w:r>
        <w:rPr>
          <w:rFonts w:ascii="Courier New" w:hAnsi="Courier New"/>
          <w:sz w:val="19"/>
        </w:rPr>
        <w:t>resource_quotas</w:t>
      </w:r>
      <w:r>
        <w:t xml:space="preserve"> (creation limits for Add operations)</w:t>
      </w:r>
    </w:p>
    <w:p>
      <w:r>
        <w:t>DC2D adds, in their place:</w:t>
      </w:r>
    </w:p>
    <w:p>
      <w:pPr>
        <w:pStyle w:val="ListBullet"/>
      </w:pPr>
      <w:r>
        <w:rPr>
          <w:rFonts w:ascii="Courier New" w:hAnsi="Courier New"/>
          <w:sz w:val="19"/>
        </w:rPr>
        <w:t>redaction</w:t>
      </w:r>
      <w:r>
        <w:t xml:space="preserve"> — per-tier output masking and tokenization (the primary control surface when the operation axis is dropped).</w:t>
      </w:r>
    </w:p>
    <w:p>
      <w:pPr>
        <w:pStyle w:val="ListBullet"/>
      </w:pPr>
      <w:r>
        <w:rPr>
          <w:rFonts w:ascii="Courier New" w:hAnsi="Courier New"/>
          <w:sz w:val="19"/>
        </w:rPr>
        <w:t>egress_controls</w:t>
      </w:r>
      <w:r>
        <w:t xml:space="preserve"> — restrictions on where classified data may flow, including a default block on external (non-tenant) model endpoints for Confidential and Restricted tiers.</w:t>
      </w:r>
    </w:p>
    <w:p>
      <w:pPr>
        <w:pStyle w:val="ListBullet"/>
      </w:pPr>
      <w:r>
        <w:rPr>
          <w:rFonts w:ascii="Courier New" w:hAnsi="Courier New"/>
          <w:sz w:val="19"/>
        </w:rPr>
        <w:t>escalated_tiers</w:t>
      </w:r>
      <w:r>
        <w:t xml:space="preserve"> (within </w:t>
      </w:r>
      <w:r>
        <w:rPr>
          <w:rFonts w:ascii="Courier New" w:hAnsi="Courier New"/>
          <w:sz w:val="19"/>
        </w:rPr>
        <w:t>emergency_escalation</w:t>
      </w:r>
      <w:r>
        <w:t xml:space="preserve">) — emergency expansion of permitted data tiers, replacing the </w:t>
      </w:r>
      <w:r>
        <w:rPr>
          <w:rFonts w:ascii="Courier New" w:hAnsi="Courier New"/>
          <w:sz w:val="19"/>
        </w:rPr>
        <w:t>escalated_permissions</w:t>
      </w:r>
      <w:r>
        <w:t xml:space="preserve"> field used in operational profiles.</w:t>
      </w:r>
    </w:p>
    <w:p>
      <w:pPr>
        <w:pStyle w:val="Heading2"/>
      </w:pPr>
      <w:r>
        <w:t>D.6 Example Profile</w:t>
      </w:r>
    </w:p>
    <w:p>
      <w:r>
        <w:t>A worked example (</w:t>
      </w:r>
      <w:r>
        <w:rPr>
          <w:rFonts w:ascii="Courier New" w:hAnsi="Courier New"/>
          <w:sz w:val="19"/>
        </w:rPr>
        <w:t>schemas/examples/regulated-data-handler-dc2d.json</w:t>
      </w:r>
      <w:r>
        <w:t>)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p>
      <w:pPr>
        <w:pStyle w:val="Heading2"/>
      </w:pPr>
      <w:r>
        <w:t>D.7 Prior Art and Positioning</w:t>
      </w:r>
    </w:p>
    <w:p>
      <w:r>
        <w:t xml:space="preserve">The DC2D pairing is best characterized as </w:t>
      </w:r>
      <w:r>
        <w:rPr>
          <w:b/>
        </w:rPr>
        <w:t>making explicit a control composition the industry already performs ad hoc</w:t>
      </w:r>
      <w:r>
        <w:t>, rather than introducing a wholly new conceptual axis. The two axes individually are mainstream:</w:t>
      </w:r>
    </w:p>
    <w:p>
      <w:pPr>
        <w:pStyle w:val="ListBullet"/>
      </w:pPr>
      <w:r>
        <w:t>Sensitivity-tier gating has been standard practice in DLP since the 2000s and is the operating model of contemporary AI-DLP products (Cyberhaven, Strac, MIND, Cloudflare AI Gateway, Symantec + Google Agent Gateway, Lakera).</w:t>
      </w:r>
    </w:p>
    <w:p>
      <w:pPr>
        <w:pStyle w:val="ListBullet"/>
      </w:pPr>
      <w:r>
        <w:t xml:space="preserve">Tiered HITL autonomy taxonomies have been popularized by the Cloud Security Alliance (Agentic NIST AI RMF Profile; </w:t>
      </w:r>
      <w:r>
        <w:rPr>
          <w:i/>
        </w:rPr>
        <w:t>Levels of Autonomy</w:t>
      </w:r>
      <w:r>
        <w:t>, January 2026), TM Forum's AI Autonomy Governance, and Inteq's decision-tier model.</w:t>
      </w:r>
    </w:p>
    <w:p>
      <w:r>
        <w:t xml:space="preserve">The closest framework-level prior art is the CSA capability-control matrix, which uses </w:t>
      </w:r>
      <w:r>
        <w:rPr>
          <w:i/>
        </w:rPr>
        <w:t>capability type</w:t>
      </w:r>
      <w:r>
        <w:t xml:space="preserve"> rather than </w:t>
      </w:r>
      <w:r>
        <w:rPr>
          <w:i/>
        </w:rPr>
        <w:t>data sensitivity</w:t>
      </w:r>
      <w:r>
        <w:t xml:space="preserve"> as its second axis. DC2D substitutes data sensitivity for capability, yielding a model directly aligned with regulated-industry compliance vocabulary (HIPAA PHI, PCI cardholder data, GDPR Article 9 special categories) and the policy surfaces of mainstream AI-DLP products.</w:t>
      </w:r>
    </w:p>
    <w:p>
      <w:r>
        <w:rPr>
          <w:i/>
        </w:rPr>
        <w:t>— End of Document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