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1.4.0 | June 2026</w:t>
      </w:r>
    </w:p>
    <w:p>
      <w:r>
        <w:rPr>
          <w:b/>
        </w:rPr>
        <w:t>Author: Kash Kashyap</w:t>
      </w:r>
      <w:r>
        <w:t xml:space="preserve"> (</w:t>
      </w:r>
      <w:r>
        <w:t>ORCID: 0009-0005-0127-6265</w:t>
      </w:r>
      <w:r>
        <w:t>)</w:t>
      </w:r>
    </w:p>
    <w:p>
      <w:pPr>
        <w:pStyle w:val="Heading2"/>
      </w:pPr>
      <w:r>
        <w:t>Revision history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Spec</w:t>
            </w:r>
          </w:p>
        </w:tc>
        <w:tc>
          <w:tcPr>
            <w:tcW w:type="dxa" w:w="4824"/>
          </w:tcPr>
          <w:p>
            <w:r>
              <w:rPr>
                <w:b/>
                <w:sz w:val="19"/>
              </w:rPr>
            </w:r>
            <w:r>
              <w:rPr>
                <w:b/>
                <w:sz w:val="19"/>
              </w:rPr>
              <w:t>Change</w:t>
            </w:r>
          </w:p>
        </w:tc>
      </w:tr>
      <w:tr>
        <w:tc>
          <w:tcPr>
            <w:tcW w:type="dxa" w:w="4824"/>
          </w:tcPr>
          <w:p>
            <w:r>
              <w:rPr>
                <w:sz w:val="19"/>
              </w:rPr>
            </w:r>
            <w:r>
              <w:rPr>
                <w:sz w:val="19"/>
              </w:rPr>
              <w:t>1.2</w:t>
            </w:r>
          </w:p>
        </w:tc>
        <w:tc>
          <w:tcPr>
            <w:tcW w:type="dxa" w:w="4824"/>
          </w:tcPr>
          <w:p>
            <w:r>
              <w:rPr>
                <w:sz w:val="19"/>
              </w:rPr>
            </w:r>
            <w:r>
              <w:rPr>
                <w:sz w:val="19"/>
              </w:rPr>
              <w:t>Added the Python Tools Registry reference implementation for automated tool governance.</w:t>
            </w:r>
          </w:p>
        </w:tc>
      </w:tr>
      <w:tr>
        <w:tc>
          <w:tcPr>
            <w:tcW w:type="dxa" w:w="4824"/>
          </w:tcPr>
          <w:p>
            <w:r>
              <w:rPr>
                <w:sz w:val="19"/>
              </w:rPr>
            </w:r>
            <w:r>
              <w:rPr>
                <w:sz w:val="19"/>
              </w:rPr>
              <w:t>1.2.1</w:t>
            </w:r>
          </w:p>
        </w:tc>
        <w:tc>
          <w:tcPr>
            <w:tcW w:type="dxa" w:w="4824"/>
          </w:tcPr>
          <w:p>
            <w:r>
              <w:rPr>
                <w:sz w:val="19"/>
              </w:rPr>
            </w:r>
            <w:r>
              <w:rPr>
                <w:sz w:val="19"/>
              </w:rPr>
              <w:t>Corrected the governance-matrix defaults in the SDK; fixed the Appendix B profile schemas.</w:t>
            </w:r>
          </w:p>
        </w:tc>
      </w:tr>
      <w:tr>
        <w:tc>
          <w:tcPr>
            <w:tcW w:type="dxa" w:w="4824"/>
          </w:tcPr>
          <w:p>
            <w:r>
              <w:rPr>
                <w:sz w:val="19"/>
              </w:rPr>
            </w:r>
            <w:r>
              <w:rPr>
                <w:sz w:val="19"/>
              </w:rPr>
              <w:t>1.3.0</w:t>
            </w:r>
          </w:p>
        </w:tc>
        <w:tc>
          <w:tcPr>
            <w:tcW w:type="dxa" w:w="4824"/>
          </w:tcPr>
          <w:p>
            <w:r>
              <w:rPr>
                <w:sz w:val="19"/>
              </w:rPr>
            </w:r>
            <w:r>
              <w:rPr>
                <w:sz w:val="19"/>
              </w:rPr>
              <w:t xml:space="preserve">Added </w:t>
            </w:r>
            <w:r>
              <w:rPr>
                <w:b/>
                <w:sz w:val="19"/>
              </w:rPr>
              <w:t>Appendix D</w:t>
            </w:r>
            <w:r>
              <w:rPr>
                <w:sz w:val="19"/>
              </w:rPr>
              <w:t>, the Data-Classification 2D variant (DC2D), with schema, example profile and SDK support.</w:t>
            </w:r>
          </w:p>
        </w:tc>
      </w:tr>
      <w:tr>
        <w:tc>
          <w:tcPr>
            <w:tcW w:type="dxa" w:w="4824"/>
          </w:tcPr>
          <w:p>
            <w:r>
              <w:rPr>
                <w:sz w:val="19"/>
              </w:rPr>
            </w:r>
            <w:r>
              <w:rPr>
                <w:sz w:val="19"/>
              </w:rPr>
              <w:t>1.3.1</w:t>
            </w:r>
          </w:p>
        </w:tc>
        <w:tc>
          <w:tcPr>
            <w:tcW w:type="dxa" w:w="4824"/>
          </w:tcPr>
          <w:p>
            <w:r>
              <w:rPr>
                <w:sz w:val="19"/>
              </w:rPr>
            </w:r>
            <w:r>
              <w:rPr>
                <w:sz w:val="19"/>
              </w:rPr>
              <w:t xml:space="preserve">Published the SDK enforcement layer and the DC2D runtime controls; added </w:t>
            </w:r>
            <w:r>
              <w:rPr>
                <w:rFonts w:ascii="Courier New" w:hAnsi="Courier New"/>
                <w:sz w:val="19"/>
              </w:rPr>
              <w:t>runtime-patterns.md</w:t>
            </w:r>
            <w:r>
              <w:rPr>
                <w:sz w:val="19"/>
              </w:rPr>
              <w:t xml:space="preserve">, </w:t>
            </w:r>
            <w:r>
              <w:rPr>
                <w:rFonts w:ascii="Courier New" w:hAnsi="Courier New"/>
                <w:sz w:val="19"/>
              </w:rPr>
              <w:t>framework-adapters.md</w:t>
            </w:r>
            <w:r>
              <w:rPr>
                <w:sz w:val="19"/>
              </w:rPr>
              <w:t xml:space="preserve"> and the runtime-architecture diagram.</w:t>
            </w:r>
          </w:p>
        </w:tc>
      </w:tr>
      <w:tr>
        <w:tc>
          <w:tcPr>
            <w:tcW w:type="dxa" w:w="4824"/>
          </w:tcPr>
          <w:p>
            <w:r>
              <w:rPr>
                <w:sz w:val="19"/>
              </w:rPr>
            </w:r>
            <w:r>
              <w:rPr>
                <w:sz w:val="19"/>
              </w:rPr>
              <w:t>1.3.2</w:t>
            </w:r>
          </w:p>
        </w:tc>
        <w:tc>
          <w:tcPr>
            <w:tcW w:type="dxa" w:w="4824"/>
          </w:tcPr>
          <w:p>
            <w:r>
              <w:rPr>
                <w:sz w:val="19"/>
              </w:rPr>
            </w:r>
            <w:r>
              <w:rPr>
                <w:sz w:val="19"/>
              </w:rPr>
              <w:t xml:space="preserve">Hardened the </w:t>
            </w:r>
            <w:r>
              <w:rPr>
                <w:b/>
                <w:sz w:val="19"/>
              </w:rPr>
              <w:t>§12.5</w:t>
            </w:r>
            <w:r>
              <w:rPr>
                <w:sz w:val="19"/>
              </w:rPr>
              <w:t xml:space="preserve"> boundary: Add/Change/Delete on Restricted is now rejected both at authoring time by </w:t>
            </w:r>
            <w:r>
              <w:rPr>
                <w:rFonts w:ascii="Courier New" w:hAnsi="Courier New"/>
                <w:sz w:val="19"/>
              </w:rPr>
              <w:t>profile-3d.schema.json</w:t>
            </w:r>
            <w:r>
              <w:rPr>
                <w:sz w:val="19"/>
              </w:rPr>
              <w:t xml:space="preserve"> and at decision time by an immutable evaluator floor, closing a gap where an </w:t>
            </w:r>
            <w:r>
              <w:rPr>
                <w:rFonts w:ascii="Courier New" w:hAnsi="Courier New"/>
                <w:sz w:val="19"/>
              </w:rPr>
              <w:t>autonomy_overrides</w:t>
            </w:r>
            <w:r>
              <w:rPr>
                <w:sz w:val="19"/>
              </w:rPr>
              <w:t xml:space="preserve"> entry could raise a prohibited cell.</w:t>
            </w:r>
          </w:p>
        </w:tc>
      </w:tr>
      <w:tr>
        <w:tc>
          <w:tcPr>
            <w:tcW w:type="dxa" w:w="4824"/>
          </w:tcPr>
          <w:p>
            <w:r>
              <w:rPr>
                <w:sz w:val="19"/>
              </w:rPr>
            </w:r>
            <w:r>
              <w:rPr>
                <w:sz w:val="19"/>
              </w:rPr>
              <w:t>1.4.0</w:t>
            </w:r>
          </w:p>
        </w:tc>
        <w:tc>
          <w:tcPr>
            <w:tcW w:type="dxa" w:w="4824"/>
          </w:tcPr>
          <w:p>
            <w:r>
              <w:rPr>
                <w:sz w:val="19"/>
              </w:rPr>
            </w:r>
            <w:r>
              <w:rPr>
                <w:sz w:val="19"/>
              </w:rPr>
              <w:t xml:space="preserve">Made the Tools Registry a first-class policy layer (§9.4–9.5); added </w:t>
            </w:r>
            <w:r>
              <w:rPr>
                <w:b/>
                <w:sz w:val="19"/>
              </w:rPr>
              <w:t>session governance</w:t>
            </w:r>
            <w:r>
              <w:rPr>
                <w:sz w:val="19"/>
              </w:rPr>
              <w:t xml:space="preserve"> (§9.7), </w:t>
            </w:r>
            <w:r>
              <w:rPr>
                <w:b/>
                <w:sz w:val="19"/>
              </w:rPr>
              <w:t>audit evidence</w:t>
            </w:r>
            <w:r>
              <w:rPr>
                <w:sz w:val="19"/>
              </w:rPr>
              <w:t xml:space="preserve"> (§9.8) and the </w:t>
            </w:r>
            <w:r>
              <w:rPr>
                <w:b/>
                <w:sz w:val="19"/>
              </w:rPr>
              <w:t>MCP policy server</w:t>
            </w:r>
            <w:r>
              <w:rPr>
                <w:sz w:val="19"/>
              </w:rPr>
              <w:t xml:space="preserve"> (§9.9). Renamed v1.3 → v1.4 per the minor-release convention.</w:t>
            </w:r>
          </w:p>
        </w:tc>
      </w:tr>
    </w:tbl>
    <w:p/>
    <w:p>
      <w:pPr>
        <w:pStyle w:val="Heading3"/>
      </w:pPr>
      <w:r>
        <w:t>SDK releases behind this revision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SDK</w:t>
            </w:r>
          </w:p>
        </w:tc>
        <w:tc>
          <w:tcPr>
            <w:tcW w:type="dxa" w:w="4824"/>
          </w:tcPr>
          <w:p>
            <w:r>
              <w:rPr>
                <w:b/>
                <w:sz w:val="19"/>
              </w:rPr>
            </w:r>
            <w:r>
              <w:rPr>
                <w:b/>
                <w:sz w:val="19"/>
              </w:rPr>
              <w:t>Added</w:t>
            </w:r>
          </w:p>
        </w:tc>
      </w:tr>
      <w:tr>
        <w:tc>
          <w:tcPr>
            <w:tcW w:type="dxa" w:w="4824"/>
          </w:tcPr>
          <w:p>
            <w:r>
              <w:rPr>
                <w:sz w:val="19"/>
              </w:rPr>
            </w:r>
            <w:r>
              <w:rPr>
                <w:sz w:val="19"/>
              </w:rPr>
              <w:t>0.4.0–0.6.0</w:t>
            </w:r>
          </w:p>
        </w:tc>
        <w:tc>
          <w:tcPr>
            <w:tcW w:type="dxa" w:w="4824"/>
          </w:tcPr>
          <w:p>
            <w:r>
              <w:rPr>
                <w:sz w:val="19"/>
              </w:rPr>
            </w:r>
            <w:r>
              <w:rPr>
                <w:rFonts w:ascii="Courier New" w:hAnsi="Courier New"/>
                <w:sz w:val="19"/>
              </w:rPr>
              <w:t>PolicyEnforcer</w:t>
            </w:r>
            <w:r>
              <w:rPr>
                <w:sz w:val="19"/>
              </w:rPr>
              <w:t xml:space="preserve">, </w:t>
            </w:r>
            <w:r>
              <w:rPr>
                <w:rFonts w:ascii="Courier New" w:hAnsi="Courier New"/>
                <w:sz w:val="19"/>
              </w:rPr>
              <w:t>ApprovalGateway</w:t>
            </w:r>
            <w:r>
              <w:rPr>
                <w:sz w:val="19"/>
              </w:rPr>
              <w:t xml:space="preserve">, </w:t>
            </w:r>
            <w:r>
              <w:rPr>
                <w:rFonts w:ascii="Courier New" w:hAnsi="Courier New"/>
                <w:sz w:val="19"/>
              </w:rPr>
              <w:t>AuditLogger</w:t>
            </w:r>
            <w:r>
              <w:rPr>
                <w:sz w:val="19"/>
              </w:rPr>
              <w:t xml:space="preserve"> and the </w:t>
            </w:r>
            <w:r>
              <w:rPr>
                <w:rFonts w:ascii="Courier New" w:hAnsi="Courier New"/>
                <w:sz w:val="19"/>
              </w:rPr>
              <w:t>RMACDError</w:t>
            </w:r>
            <w:r>
              <w:rPr>
                <w:sz w:val="19"/>
              </w:rPr>
              <w:t xml:space="preserve"> hierarchy; DC2D </w:t>
            </w:r>
            <w:r>
              <w:rPr>
                <w:rFonts w:ascii="Courier New" w:hAnsi="Courier New"/>
                <w:sz w:val="19"/>
              </w:rPr>
              <w:t>Redactor</w:t>
            </w:r>
            <w:r>
              <w:rPr>
                <w:sz w:val="19"/>
              </w:rPr>
              <w:t xml:space="preserve"> / </w:t>
            </w:r>
            <w:r>
              <w:rPr>
                <w:rFonts w:ascii="Courier New" w:hAnsi="Courier New"/>
                <w:sz w:val="19"/>
              </w:rPr>
              <w:t>EgressGate</w:t>
            </w:r>
            <w:r>
              <w:rPr>
                <w:sz w:val="19"/>
              </w:rPr>
              <w:t xml:space="preserve">; </w:t>
            </w:r>
            <w:r>
              <w:rPr>
                <w:rFonts w:ascii="Courier New" w:hAnsi="Courier New"/>
                <w:sz w:val="19"/>
              </w:rPr>
              <w:t>build_system_prompt</w:t>
            </w:r>
            <w:r>
              <w:rPr>
                <w:sz w:val="19"/>
              </w:rPr>
              <w:t>; runnable reference integrations.</w:t>
            </w:r>
          </w:p>
        </w:tc>
      </w:tr>
      <w:tr>
        <w:tc>
          <w:tcPr>
            <w:tcW w:type="dxa" w:w="4824"/>
          </w:tcPr>
          <w:p>
            <w:r>
              <w:rPr>
                <w:sz w:val="19"/>
              </w:rPr>
            </w:r>
            <w:r>
              <w:rPr>
                <w:sz w:val="19"/>
              </w:rPr>
              <w:t>0.7.0</w:t>
            </w:r>
          </w:p>
        </w:tc>
        <w:tc>
          <w:tcPr>
            <w:tcW w:type="dxa" w:w="4824"/>
          </w:tcPr>
          <w:p>
            <w:r>
              <w:rPr>
                <w:sz w:val="19"/>
              </w:rPr>
            </w:r>
            <w:r>
              <w:rPr>
                <w:sz w:val="19"/>
              </w:rPr>
              <w:t>The immutable §12.5 runtime floor (see spec 1.3.2); time-window, egress and redaction fixes.</w:t>
            </w:r>
          </w:p>
        </w:tc>
      </w:tr>
      <w:tr>
        <w:tc>
          <w:tcPr>
            <w:tcW w:type="dxa" w:w="4824"/>
          </w:tcPr>
          <w:p>
            <w:r>
              <w:rPr>
                <w:sz w:val="19"/>
              </w:rPr>
            </w:r>
            <w:r>
              <w:rPr>
                <w:sz w:val="19"/>
              </w:rPr>
              <w:t>0.8.0</w:t>
            </w:r>
          </w:p>
        </w:tc>
        <w:tc>
          <w:tcPr>
            <w:tcW w:type="dxa" w:w="4824"/>
          </w:tcPr>
          <w:p>
            <w:r>
              <w:rPr>
                <w:sz w:val="19"/>
              </w:rPr>
            </w:r>
            <w:r>
              <w:rPr>
                <w:b/>
                <w:sz w:val="19"/>
              </w:rPr>
              <w:t>Tools Registry as a policy layer.</w:t>
            </w:r>
            <w:r>
              <w:rPr>
                <w:sz w:val="19"/>
              </w:rPr>
              <w:t xml:space="preserve"> Each tool registers an operation, an optional dynamic classifier (args → operation/tier/target) and an optional capability ceiling; </w:t>
            </w:r>
            <w:r>
              <w:rPr>
                <w:rFonts w:ascii="Courier New" w:hAnsi="Courier New"/>
                <w:sz w:val="19"/>
              </w:rPr>
              <w:t>enforce_tool_call(tool, args)</w:t>
            </w:r>
            <w:r>
              <w:rPr>
                <w:sz w:val="19"/>
              </w:rPr>
              <w:t xml:space="preserve"> enforces </w:t>
            </w:r>
            <w:r>
              <w:rPr>
                <w:b/>
                <w:sz w:val="19"/>
              </w:rPr>
              <w:t>profile ∩ tool capability</w:t>
            </w:r>
            <w:r>
              <w:rPr>
                <w:sz w:val="19"/>
              </w:rPr>
              <w:t xml:space="preserve"> with the §12.5 floor. The standalone </w:t>
            </w:r>
            <w:r>
              <w:rPr>
                <w:rFonts w:ascii="Courier New" w:hAnsi="Courier New"/>
                <w:sz w:val="19"/>
              </w:rPr>
              <w:t>tools-registry/</w:t>
            </w:r>
            <w:r>
              <w:rPr>
                <w:sz w:val="19"/>
              </w:rPr>
              <w:t xml:space="preserve"> was folded into </w:t>
            </w:r>
            <w:r>
              <w:rPr>
                <w:rFonts w:ascii="Courier New" w:hAnsi="Courier New"/>
                <w:sz w:val="19"/>
              </w:rPr>
              <w:t>rmacd.registry</w:t>
            </w:r>
            <w:r>
              <w:rPr>
                <w:sz w:val="19"/>
              </w:rPr>
              <w:t>.</w:t>
            </w:r>
          </w:p>
        </w:tc>
      </w:tr>
      <w:tr>
        <w:tc>
          <w:tcPr>
            <w:tcW w:type="dxa" w:w="4824"/>
          </w:tcPr>
          <w:p>
            <w:r>
              <w:rPr>
                <w:sz w:val="19"/>
              </w:rPr>
            </w:r>
            <w:r>
              <w:rPr>
                <w:sz w:val="19"/>
              </w:rPr>
              <w:t>0.9.1</w:t>
            </w:r>
          </w:p>
        </w:tc>
        <w:tc>
          <w:tcPr>
            <w:tcW w:type="dxa" w:w="4824"/>
          </w:tcPr>
          <w:p>
            <w:r>
              <w:rPr>
                <w:sz w:val="19"/>
              </w:rPr>
            </w:r>
            <w:r>
              <w:rPr>
                <w:sz w:val="19"/>
              </w:rPr>
              <w:t>Single-sourced the package version; bundled the three profile schemas into the wheel.</w:t>
            </w:r>
          </w:p>
        </w:tc>
      </w:tr>
      <w:tr>
        <w:tc>
          <w:tcPr>
            <w:tcW w:type="dxa" w:w="4824"/>
          </w:tcPr>
          <w:p>
            <w:r>
              <w:rPr>
                <w:sz w:val="19"/>
              </w:rPr>
            </w:r>
            <w:r>
              <w:rPr>
                <w:sz w:val="19"/>
              </w:rPr>
              <w:t>0.10.0</w:t>
            </w:r>
          </w:p>
        </w:tc>
        <w:tc>
          <w:tcPr>
            <w:tcW w:type="dxa" w:w="4824"/>
          </w:tcPr>
          <w:p>
            <w:r>
              <w:rPr>
                <w:sz w:val="19"/>
              </w:rPr>
            </w:r>
            <w:r>
              <w:rPr>
                <w:sz w:val="19"/>
              </w:rPr>
              <w:t xml:space="preserve">Optional </w:t>
            </w:r>
            <w:r>
              <w:rPr>
                <w:b/>
                <w:sz w:val="19"/>
              </w:rPr>
              <w:t>LLM-assisted tool classification</w:t>
            </w:r>
            <w:r>
              <w:rPr>
                <w:sz w:val="19"/>
              </w:rPr>
              <w:t xml:space="preserve"> (</w:t>
            </w:r>
            <w:r>
              <w:rPr>
                <w:rFonts w:ascii="Courier New" w:hAnsi="Courier New"/>
                <w:sz w:val="19"/>
              </w:rPr>
              <w:t>LLMToolClassifier</w:t>
            </w:r>
            <w:r>
              <w:rPr>
                <w:sz w:val="19"/>
              </w:rPr>
              <w:t xml:space="preserve">, extra </w:t>
            </w:r>
            <w:r>
              <w:rPr>
                <w:rFonts w:ascii="Courier New" w:hAnsi="Courier New"/>
                <w:sz w:val="19"/>
              </w:rPr>
              <w:t>[llm]</w:t>
            </w:r>
            <w:r>
              <w:rPr>
                <w:sz w:val="19"/>
              </w:rPr>
              <w:t xml:space="preserve">) wired into </w:t>
            </w:r>
            <w:r>
              <w:rPr>
                <w:rFonts w:ascii="Courier New" w:hAnsi="Courier New"/>
                <w:sz w:val="19"/>
              </w:rPr>
              <w:t>MCPRegistryBridge</w:t>
            </w:r>
            <w:r>
              <w:rPr>
                <w:sz w:val="19"/>
              </w:rPr>
              <w:t xml:space="preserve">; capability ceilings and provenance on auto-classified MCP tools; a </w:t>
            </w:r>
            <w:r>
              <w:rPr>
                <w:rFonts w:ascii="Courier New" w:hAnsi="Courier New"/>
                <w:sz w:val="19"/>
              </w:rPr>
              <w:t>low_confidence_tools()</w:t>
            </w:r>
            <w:r>
              <w:rPr>
                <w:sz w:val="19"/>
              </w:rPr>
              <w:t xml:space="preserve"> review queue.</w:t>
            </w:r>
          </w:p>
        </w:tc>
      </w:tr>
      <w:tr>
        <w:tc>
          <w:tcPr>
            <w:tcW w:type="dxa" w:w="4824"/>
          </w:tcPr>
          <w:p>
            <w:r>
              <w:rPr>
                <w:sz w:val="19"/>
              </w:rPr>
            </w:r>
            <w:r>
              <w:rPr>
                <w:sz w:val="19"/>
              </w:rPr>
              <w:t>0.11.0</w:t>
            </w:r>
          </w:p>
        </w:tc>
        <w:tc>
          <w:tcPr>
            <w:tcW w:type="dxa" w:w="4824"/>
          </w:tcPr>
          <w:p>
            <w:r>
              <w:rPr>
                <w:sz w:val="19"/>
              </w:rPr>
            </w:r>
            <w:r>
              <w:rPr>
                <w:b/>
                <w:sz w:val="19"/>
              </w:rPr>
              <w:t>Governance Packs</w:t>
            </w:r>
            <w:r>
              <w:rPr>
                <w:sz w:val="19"/>
              </w:rPr>
              <w:t xml:space="preserve"> (</w:t>
            </w:r>
            <w:r>
              <w:rPr>
                <w:rFonts w:ascii="Courier New" w:hAnsi="Courier New"/>
                <w:sz w:val="19"/>
              </w:rPr>
              <w:t>rmacd.packs</w:t>
            </w:r>
            <w:r>
              <w:rPr>
                <w:sz w:val="19"/>
              </w:rPr>
              <w:t xml:space="preserve">) — declarative, reusable, signable tool → </w:t>
            </w:r>
            <w:r>
              <w:rPr>
                <w:rFonts w:ascii="Courier New" w:hAnsi="Courier New"/>
                <w:sz w:val="19"/>
              </w:rPr>
              <w:t>(operation, tier, target)</w:t>
            </w:r>
            <w:r>
              <w:rPr>
                <w:sz w:val="19"/>
              </w:rPr>
              <w:t xml:space="preserve"> mappings as data; AI-compile authoring (</w:t>
            </w:r>
            <w:r>
              <w:rPr>
                <w:rFonts w:ascii="Courier New" w:hAnsi="Courier New"/>
                <w:sz w:val="19"/>
              </w:rPr>
              <w:t>rmacd classify</w:t>
            </w:r>
            <w:r>
              <w:rPr>
                <w:sz w:val="19"/>
              </w:rPr>
              <w:t>); Ed25519 signing and drift detection. 19 built-in packs.</w:t>
            </w:r>
          </w:p>
        </w:tc>
      </w:tr>
      <w:tr>
        <w:tc>
          <w:tcPr>
            <w:tcW w:type="dxa" w:w="4824"/>
          </w:tcPr>
          <w:p>
            <w:r>
              <w:rPr>
                <w:sz w:val="19"/>
              </w:rPr>
            </w:r>
            <w:r>
              <w:rPr>
                <w:sz w:val="19"/>
              </w:rPr>
              <w:t>0.12.0</w:t>
            </w:r>
          </w:p>
        </w:tc>
        <w:tc>
          <w:tcPr>
            <w:tcW w:type="dxa" w:w="4824"/>
          </w:tcPr>
          <w:p>
            <w:r>
              <w:rPr>
                <w:sz w:val="19"/>
              </w:rPr>
            </w:r>
            <w:r>
              <w:rPr>
                <w:sz w:val="19"/>
              </w:rPr>
              <w:t>Three cloud-identity packs (</w:t>
            </w:r>
            <w:r>
              <w:rPr>
                <w:rFonts w:ascii="Courier New" w:hAnsi="Courier New"/>
                <w:sz w:val="19"/>
              </w:rPr>
              <w:t>aws-iam</w:t>
            </w:r>
            <w:r>
              <w:rPr>
                <w:sz w:val="19"/>
              </w:rPr>
              <w:t xml:space="preserve">, </w:t>
            </w:r>
            <w:r>
              <w:rPr>
                <w:rFonts w:ascii="Courier New" w:hAnsi="Courier New"/>
                <w:sz w:val="19"/>
              </w:rPr>
              <w:t>az-identity</w:t>
            </w:r>
            <w:r>
              <w:rPr>
                <w:sz w:val="19"/>
              </w:rPr>
              <w:t xml:space="preserve">, </w:t>
            </w:r>
            <w:r>
              <w:rPr>
                <w:rFonts w:ascii="Courier New" w:hAnsi="Courier New"/>
                <w:sz w:val="19"/>
              </w:rPr>
              <w:t>gcp-iam</w:t>
            </w:r>
            <w:r>
              <w:rPr>
                <w:sz w:val="19"/>
              </w:rPr>
              <w:t xml:space="preserve">); </w:t>
            </w:r>
            <w:r>
              <w:rPr>
                <w:rFonts w:ascii="Courier New" w:hAnsi="Courier New"/>
                <w:sz w:val="19"/>
              </w:rPr>
              <w:t>CLIApprovalGateway</w:t>
            </w:r>
            <w:r>
              <w:rPr>
                <w:sz w:val="19"/>
              </w:rPr>
              <w:t xml:space="preserve"> promoted into the SDK. 22 packs.</w:t>
            </w:r>
          </w:p>
        </w:tc>
      </w:tr>
      <w:tr>
        <w:tc>
          <w:tcPr>
            <w:tcW w:type="dxa" w:w="4824"/>
          </w:tcPr>
          <w:p>
            <w:r>
              <w:rPr>
                <w:sz w:val="19"/>
              </w:rPr>
            </w:r>
            <w:r>
              <w:rPr>
                <w:sz w:val="19"/>
              </w:rPr>
              <w:t>0.13.0</w:t>
            </w:r>
          </w:p>
        </w:tc>
        <w:tc>
          <w:tcPr>
            <w:tcW w:type="dxa" w:w="4824"/>
          </w:tcPr>
          <w:p>
            <w:r>
              <w:rPr>
                <w:sz w:val="19"/>
              </w:rPr>
            </w:r>
            <w:r>
              <w:rPr>
                <w:b/>
                <w:sz w:val="19"/>
              </w:rPr>
              <w:t>Session governance</w:t>
            </w:r>
            <w:r>
              <w:rPr>
                <w:sz w:val="19"/>
              </w:rPr>
              <w:t xml:space="preserve"> (§9.7): a deterministic </w:t>
            </w:r>
            <w:r>
              <w:rPr>
                <w:rFonts w:ascii="Courier New" w:hAnsi="Courier New"/>
                <w:sz w:val="19"/>
              </w:rPr>
              <w:t>PreToolUse</w:t>
            </w:r>
            <w:r>
              <w:rPr>
                <w:sz w:val="19"/>
              </w:rPr>
              <w:t xml:space="preserve"> hook binding a Claude Code session to a profile, plus the </w:t>
            </w:r>
            <w:r>
              <w:rPr>
                <w:rFonts w:ascii="Courier New" w:hAnsi="Courier New"/>
                <w:sz w:val="19"/>
              </w:rPr>
              <w:t>plugins/rmacd/</w:t>
            </w:r>
            <w:r>
              <w:rPr>
                <w:sz w:val="19"/>
              </w:rPr>
              <w:t xml:space="preserve"> plugin. </w:t>
            </w:r>
            <w:r>
              <w:rPr>
                <w:b/>
                <w:sz w:val="19"/>
              </w:rPr>
              <w:t>Audit evidence</w:t>
            </w:r>
            <w:r>
              <w:rPr>
                <w:sz w:val="19"/>
              </w:rPr>
              <w:t xml:space="preserve"> (§9.8, </w:t>
            </w:r>
            <w:r>
              <w:rPr>
                <w:rFonts w:ascii="Courier New" w:hAnsi="Courier New"/>
                <w:sz w:val="19"/>
              </w:rPr>
              <w:t>rmacd audit summarize</w:t>
            </w:r>
            <w:r>
              <w:rPr>
                <w:sz w:val="19"/>
              </w:rPr>
              <w:t xml:space="preserve">). Read-only </w:t>
            </w:r>
            <w:r>
              <w:rPr>
                <w:b/>
                <w:sz w:val="19"/>
              </w:rPr>
              <w:t>MCP policy server</w:t>
            </w:r>
            <w:r>
              <w:rPr>
                <w:sz w:val="19"/>
              </w:rPr>
              <w:t xml:space="preserve"> (§9.9, </w:t>
            </w:r>
            <w:r>
              <w:rPr>
                <w:rFonts w:ascii="Courier New" w:hAnsi="Courier New"/>
                <w:sz w:val="19"/>
              </w:rPr>
              <w:t>rmacd mcp-serve</w:t>
            </w:r>
            <w:r>
              <w:rPr>
                <w:sz w:val="19"/>
              </w:rPr>
              <w:t xml:space="preserve">, extra </w:t>
            </w:r>
            <w:r>
              <w:rPr>
                <w:rFonts w:ascii="Courier New" w:hAnsi="Courier New"/>
                <w:sz w:val="19"/>
              </w:rPr>
              <w:t>[mcp]</w:t>
            </w:r>
            <w:r>
              <w:rPr>
                <w:sz w:val="19"/>
              </w:rPr>
              <w:t>). Pack composition. 34 packs.</w:t>
            </w:r>
          </w:p>
        </w:tc>
      </w:tr>
      <w:tr>
        <w:tc>
          <w:tcPr>
            <w:tcW w:type="dxa" w:w="4824"/>
          </w:tcPr>
          <w:p>
            <w:r>
              <w:rPr>
                <w:sz w:val="19"/>
              </w:rPr>
            </w:r>
            <w:r>
              <w:rPr>
                <w:sz w:val="19"/>
              </w:rPr>
              <w:t>0.14.0</w:t>
            </w:r>
          </w:p>
        </w:tc>
        <w:tc>
          <w:tcPr>
            <w:tcW w:type="dxa" w:w="4824"/>
          </w:tcPr>
          <w:p>
            <w:r>
              <w:rPr>
                <w:sz w:val="19"/>
              </w:rPr>
            </w:r>
            <w:r>
              <w:rPr>
                <w:sz w:val="19"/>
              </w:rPr>
              <w:t xml:space="preserve">Security release closing nine under-enforcement bypasses; corrected §3.1 — </w:t>
            </w:r>
            <w:r>
              <w:rPr>
                <w:b/>
                <w:sz w:val="19"/>
              </w:rPr>
              <w:t>Add on Restricted is Prohibited</w:t>
            </w:r>
            <w:r>
              <w:rPr>
                <w:sz w:val="19"/>
              </w:rPr>
              <w:t>, not Elevated Approval.</w:t>
            </w:r>
          </w:p>
        </w:tc>
      </w:tr>
      <w:tr>
        <w:tc>
          <w:tcPr>
            <w:tcW w:type="dxa" w:w="4824"/>
          </w:tcPr>
          <w:p>
            <w:r>
              <w:rPr>
                <w:sz w:val="19"/>
              </w:rPr>
            </w:r>
            <w:r>
              <w:rPr>
                <w:sz w:val="19"/>
              </w:rPr>
              <w:t>0.14.1</w:t>
            </w:r>
          </w:p>
        </w:tc>
        <w:tc>
          <w:tcPr>
            <w:tcW w:type="dxa" w:w="4824"/>
          </w:tcPr>
          <w:p>
            <w:r>
              <w:rPr>
                <w:sz w:val="19"/>
              </w:rPr>
            </w:r>
            <w:r>
              <w:rPr>
                <w:sz w:val="19"/>
              </w:rPr>
              <w:t>Closed the remaining session fail-open: a bound session whose SDK cannot be imported now denies every tool call instead of running ungoverned.</w:t>
            </w:r>
          </w:p>
        </w:tc>
      </w:tr>
    </w:tbl>
    <w:p/>
    <w:p>
      <w:r>
        <w:t>Standing constraints, unchanged by any release above:</w:t>
      </w:r>
    </w:p>
    <w:p>
      <w:pPr>
        <w:pStyle w:val="ListBullet"/>
      </w:pPr>
      <w:r>
        <w:rPr>
          <w:b/>
        </w:rPr>
        <w:t>LLM classification is advisory</w:t>
      </w:r>
      <w:r>
        <w:t>, at authoring and registration time only.</w:t>
      </w:r>
    </w:p>
    <w:p>
      <w:r>
        <w:t>Runtime enforcement — the §12.5 floor, the agent profile, the capability</w:t>
      </w:r>
    </w:p>
    <w:p>
      <w:r>
        <w:t>ceiling — is deterministic, with no model in the decision path.</w:t>
      </w:r>
    </w:p>
    <w:p>
      <w:pPr>
        <w:pStyle w:val="ListBullet"/>
      </w:pPr>
      <w:r>
        <w:rPr>
          <w:b/>
        </w:rPr>
        <w:t>Governance Packs are an SDK capability, not normative.</w:t>
      </w:r>
    </w:p>
    <w:p>
      <w:pPr>
        <w:pStyle w:val="ListBullet"/>
      </w:pPr>
      <w:r>
        <w:t xml:space="preserve">Every addition above is </w:t>
      </w:r>
      <w:r>
        <w:rPr>
          <w:b/>
        </w:rPr>
        <w:t>additive</w:t>
      </w:r>
      <w:r>
        <w:t>: the runtime gates are unchanged.</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State-Changing Operations on Sensitive Data Are Prohibited:</w:t>
      </w:r>
      <w:r>
        <w:t xml:space="preserve"> Add, Change and Delete operations against Restricted data are all marked 'Prohibited' for autonomous agents. These operations require human execution, though agents may recommend or prepare such actions. This is the §12.5 immutable floor: unlike every other cell, these three cannot be relaxed by an organization's own matrix adjustments, by an autonomy override, or through the exception process.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 Security + Legal review</w:t>
            </w:r>
          </w:p>
        </w:tc>
        <w:tc>
          <w:tcPr>
            <w:tcW w:type="dxa" w:w="2412"/>
          </w:tcPr>
          <w:p>
            <w:r>
              <w:rPr>
                <w:sz w:val="19"/>
              </w:rPr>
            </w:r>
            <w:r>
              <w:rPr>
                <w:sz w:val="19"/>
              </w:rPr>
              <w:t>Penetration test; full audit trail</w:t>
            </w:r>
          </w:p>
        </w:tc>
      </w:tr>
    </w:tbl>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Change and Delete operations on Restricted data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 xml:space="preserve">RMACD integrates naturally with existing ITIL change management — termed </w:t>
      </w:r>
      <w:r>
        <w:rPr>
          <w:b/>
        </w:rPr>
        <w:t>change enablement</w:t>
      </w:r>
      <w:r>
        <w:t xml:space="preserve"> in ITIL 4. ITIL 4 recognizes three change types: </w:t>
      </w:r>
      <w:r>
        <w:rPr>
          <w:b/>
        </w:rPr>
        <w:t>Standard</w:t>
      </w:r>
      <w:r>
        <w:t xml:space="preserve"> (pre-authorized, low-risk, repeatable), </w:t>
      </w:r>
      <w:r>
        <w:rPr>
          <w:b/>
        </w:rPr>
        <w:t>Normal</w:t>
      </w:r>
      <w:r>
        <w:t xml:space="preserve"> (risk-assessed, authorized by the appropriate change authority), and </w:t>
      </w:r>
      <w:r>
        <w:rPr>
          <w:b/>
        </w:rPr>
        <w:t>Emergency</w:t>
      </w:r>
      <w:r>
        <w:t xml:space="preserve"> (expedited for urgent situations). The combination of RMACD operation and data classification determines which change type applies and the change authority required: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bl>
    <w:p/>
    <w:p>
      <w:r>
        <w:t xml:space="preserve">¹ Add/Change/Delete on Restricted is </w:t>
      </w:r>
      <w:r>
        <w:rPr>
          <w:b/>
        </w:rPr>
        <w:t>prohibited for autonomous agents</w:t>
      </w:r>
      <w:r>
        <w:t xml:space="preserve"> by the §12.5 immutable safety floor — these are never issued as an automated change and always require a human change authority.</w:t>
      </w:r>
    </w:p>
    <w:p>
      <w:r>
        <w:t xml:space="preserve">Higher-risk cells escalate the </w:t>
      </w:r>
      <w:r>
        <w:rPr>
          <w:b/>
        </w:rPr>
        <w:t>change authority</w:t>
      </w:r>
      <w:r>
        <w:t xml:space="preserve"> — from delegated or automated approval for low-risk normal changes up to the Change Advisory Board (CAB) for high-risk ones — consistent with ITIL 4's risk-based authorization model. RMACD's </w:t>
      </w:r>
      <w:r>
        <w:rPr>
          <w:b/>
        </w:rPr>
        <w:t>emergency-escalation</w:t>
      </w:r>
      <w:r>
        <w:t xml:space="preserve"> controls correspond directly to ITIL's </w:t>
      </w:r>
      <w:r>
        <w:rPr>
          <w:b/>
        </w:rPr>
        <w:t>Emergency change</w:t>
      </w:r>
      <w:r>
        <w:t xml:space="preserve"> type: a time-boxed, expedited path with heightened logging and mandatory post-hoc review.</w:t>
      </w:r>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 At authoring time this is the compiler that produces a Governance Pack (§9.6)</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Every tool in the workflow must be registered first — the registry ships</w:t>
        <w:br/>
      </w:r>
      <w:r>
        <w:rPr>
          <w:rFonts w:ascii="Courier New" w:hAnsi="Courier New"/>
          <w:sz w:val="17"/>
        </w:rPr>
        <w:t># empty, and unregistered ids are reported in `missing_tools` rather than</w:t>
        <w:br/>
      </w:r>
      <w:r>
        <w:rPr>
          <w:rFonts w:ascii="Courier New" w:hAnsi="Courier New"/>
          <w:sz w:val="17"/>
        </w:rPr>
        <w:t># raising, which would otherwise yield a silent all-zero risk score.</w:t>
        <w:br/>
      </w:r>
      <w:r>
        <w:rPr>
          <w:rFonts w:ascii="Courier New" w:hAnsi="Courier New"/>
          <w:sz w:val="17"/>
        </w:rPr>
        <w:t>for tool_id, name, level, tier in [</w:t>
        <w:br/>
      </w:r>
      <w:r>
        <w:rPr>
          <w:rFonts w:ascii="Courier New" w:hAnsi="Courier New"/>
          <w:sz w:val="17"/>
        </w:rPr>
        <w:t xml:space="preserve">    ("github_commit", "GitHub Commit", "C", "internal"),</w:t>
        <w:br/>
      </w:r>
      <w:r>
        <w:rPr>
          <w:rFonts w:ascii="Courier New" w:hAnsi="Courier New"/>
          <w:sz w:val="17"/>
        </w:rPr>
        <w:t xml:space="preserve">    ("kubernetes_deploy", "Kubernetes Deploy", "A", "internal"),</w:t>
        <w:br/>
      </w:r>
      <w:r>
        <w:rPr>
          <w:rFonts w:ascii="Courier New" w:hAnsi="Courier New"/>
          <w:sz w:val="17"/>
        </w:rPr>
        <w:t xml:space="preserve">    ("slack_notify", "Slack Notify", "A", "public"),</w:t>
        <w:br/>
      </w:r>
      <w:r>
        <w:rPr>
          <w:rFonts w:ascii="Courier New" w:hAnsi="Courier New"/>
          <w:sz w:val="17"/>
        </w:rPr>
        <w:t>]:</w:t>
        <w:br/>
      </w:r>
      <w:r>
        <w:rPr>
          <w:rFonts w:ascii="Courier New" w:hAnsi="Courier New"/>
          <w:sz w:val="17"/>
        </w:rPr>
        <w:t xml:space="preserve">    quick_register(</w:t>
        <w:br/>
      </w:r>
      <w:r>
        <w:rPr>
          <w:rFonts w:ascii="Courier New" w:hAnsi="Courier New"/>
          <w:sz w:val="17"/>
        </w:rPr>
        <w:t xml:space="preserve">        registry,</w:t>
        <w:br/>
      </w:r>
      <w:r>
        <w:rPr>
          <w:rFonts w:ascii="Courier New" w:hAnsi="Courier New"/>
          <w:sz w:val="17"/>
        </w:rPr>
        <w:t xml:space="preserve">        tool_id=tool_id,</w:t>
        <w:br/>
      </w:r>
      <w:r>
        <w:rPr>
          <w:rFonts w:ascii="Courier New" w:hAnsi="Courier New"/>
          <w:sz w:val="17"/>
        </w:rPr>
        <w:t xml:space="preserve">        tool_name=name,</w:t>
        <w:br/>
      </w:r>
      <w:r>
        <w:rPr>
          <w:rFonts w:ascii="Courier New" w:hAnsi="Courier New"/>
          <w:sz w:val="17"/>
        </w:rPr>
        <w:t xml:space="preserve">        rmacd_level=level,</w:t>
        <w:br/>
      </w:r>
      <w:r>
        <w:rPr>
          <w:rFonts w:ascii="Courier New" w:hAnsi="Courier New"/>
          <w:sz w:val="17"/>
        </w:rPr>
        <w:t xml:space="preserve">        description=name,</w:t>
        <w:br/>
      </w:r>
      <w:r>
        <w:rPr>
          <w:rFonts w:ascii="Courier New" w:hAnsi="Courier New"/>
          <w:sz w:val="17"/>
        </w:rPr>
        <w:t xml:space="preserve">        data_access=tier,</w:t>
        <w:br/>
      </w:r>
      <w:r>
        <w:rPr>
          <w:rFonts w:ascii="Courier New" w:hAnsi="Courier New"/>
          <w:sz w:val="17"/>
        </w:rPr>
        <w:t xml:space="preserve">        required_hitl="approval",</w:t>
        <w:br/>
      </w:r>
      <w:r>
        <w:rPr>
          <w:rFonts w:ascii="Courier New" w:hAnsi="Courier New"/>
          <w:sz w:val="17"/>
        </w:rPr>
        <w:t xml:space="preserve">    )</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t>
        <w:br/>
      </w:r>
      <w:r>
        <w:rPr>
          <w:rFonts w:ascii="Courier New" w:hAnsi="Courier New"/>
          <w:sz w:val="17"/>
        </w:rPr>
        <w:t xml:space="preserve">    ["github_commit", "kubernetes_deploy", "slack_notify"]</w:t>
        <w:br/>
      </w:r>
      <w:r>
        <w:rPr>
          <w:rFonts w:ascii="Courier New" w:hAnsi="Courier New"/>
          <w:sz w:val="17"/>
        </w:rPr>
        <w:t>)</w:t>
        <w:br/>
      </w:r>
      <w:r>
        <w:rPr>
          <w:rFonts w:ascii="Courier New" w:hAnsi="Courier New"/>
          <w:sz w:val="17"/>
        </w:rPr>
        <w:br/>
      </w:r>
      <w:r>
        <w:rPr>
          <w:rFonts w:ascii="Courier New" w:hAnsi="Courier New"/>
          <w:sz w:val="17"/>
        </w:rPr>
        <w:t>print(f"Total Risk: {risk_analysis['total_risk']}/10")       # 5.26/10</w:t>
        <w:br/>
      </w:r>
      <w:r>
        <w:rPr>
          <w:rFonts w:ascii="Courier New" w:hAnsi="Courier New"/>
          <w:sz w:val="17"/>
        </w:rPr>
        <w:t>print(f"Highest RMACD Level: {risk_analysis['highest_rmacd']}")  # C</w:t>
        <w:br/>
      </w:r>
      <w:r>
        <w:rPr>
          <w:rFonts w:ascii="Courier New" w:hAnsi="Courier New"/>
          <w:sz w:val="17"/>
        </w:rPr>
        <w:t>print(f"Highest Risk Tool: {risk_analysis['highest_risk_tool']}")</w:t>
      </w:r>
    </w:p>
    <w:p>
      <w:r>
        <w:t xml:space="preserve">&gt; Risk scoring is </w:t>
      </w:r>
      <w:r>
        <w:rPr>
          <w:b/>
        </w:rPr>
        <w:t>advisory</w:t>
      </w:r>
      <w:r>
        <w:t xml:space="preserve"> — a prioritisation aid for review, not part of</w:t>
      </w:r>
    </w:p>
    <w:p>
      <w:r>
        <w:t>&gt; the enforcement path. No decision in §9.5 or §12.5 consults it.</w:t>
      </w:r>
    </w:p>
    <w:p>
      <w:pPr>
        <w:pStyle w:val="Heading3"/>
      </w:pPr>
      <w:r>
        <w:t>Pre-Classified Tool Coverage: Governance Packs</w:t>
      </w:r>
    </w:p>
    <w:p>
      <w:r>
        <w:t xml:space="preserve">A </w:t>
      </w:r>
      <w:r>
        <w:rPr>
          <w:rFonts w:ascii="Courier New" w:hAnsi="Courier New"/>
          <w:sz w:val="19"/>
        </w:rPr>
        <w:t>ToolsRegistry</w:t>
      </w:r>
      <w:r>
        <w:t xml:space="preserve"> starts </w:t>
      </w:r>
      <w:r>
        <w:rPr>
          <w:b/>
        </w:rPr>
        <w:t>empty</w:t>
      </w:r>
      <w:r>
        <w:t>. Tool coverage is not a fixed catalogue baked</w:t>
      </w:r>
    </w:p>
    <w:p>
      <w:r>
        <w:t xml:space="preserve">into the registry; it is supplied by </w:t>
      </w:r>
      <w:r>
        <w:rPr>
          <w:b/>
        </w:rPr>
        <w:t>Governance Packs</w:t>
      </w:r>
      <w:r>
        <w:t xml:space="preserve"> — declarative,</w:t>
      </w:r>
    </w:p>
    <w:p>
      <w:r>
        <w:t>versionable, signable documents that map a tool call to</w:t>
      </w:r>
    </w:p>
    <w:p>
      <w:r>
        <w:rPr>
          <w:rFonts w:ascii="Courier New" w:hAnsi="Courier New"/>
          <w:sz w:val="19"/>
        </w:rPr>
        <w:t>(operation, classification, target)</w:t>
      </w:r>
      <w:r>
        <w:t xml:space="preserve"> as data rather than code. Load them and</w:t>
      </w:r>
    </w:p>
    <w:p>
      <w:r>
        <w:t>the registry is populated:</w:t>
      </w:r>
    </w:p>
    <w:p>
      <w:pPr>
        <w:spacing w:after="160"/>
        <w:ind w:left="360"/>
      </w:pPr>
      <w:r>
        <w:rPr>
          <w:rFonts w:ascii="Courier New" w:hAnsi="Courier New"/>
          <w:sz w:val="17"/>
        </w:rPr>
        <w:t>from rmacd.packs import load_packs</w:t>
        <w:br/>
      </w:r>
      <w:r>
        <w:rPr>
          <w:rFonts w:ascii="Courier New" w:hAnsi="Courier New"/>
          <w:sz w:val="17"/>
        </w:rPr>
        <w:br/>
      </w:r>
      <w:r>
        <w:rPr>
          <w:rFonts w:ascii="Courier New" w:hAnsi="Courier New"/>
          <w:sz w:val="17"/>
        </w:rPr>
        <w:t>registry = load_packs(["shell", "filesystem", "git", "kubectl"])</w:t>
      </w:r>
    </w:p>
    <w:p>
      <w:r>
        <w:t xml:space="preserve">The SDK ships </w:t>
      </w:r>
      <w:r>
        <w:rPr>
          <w:b/>
        </w:rPr>
        <w:t>34 built-in packs</w:t>
      </w:r>
      <w:r>
        <w:t>, covering shells, cloud CLIs and their</w:t>
      </w:r>
    </w:p>
    <w:p>
      <w:r>
        <w:t>identity surfaces, developer toolchains, databases, and SaaS/MCP servers: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Family</w:t>
            </w:r>
          </w:p>
        </w:tc>
        <w:tc>
          <w:tcPr>
            <w:tcW w:type="dxa" w:w="4824"/>
          </w:tcPr>
          <w:p>
            <w:r>
              <w:rPr>
                <w:b/>
                <w:sz w:val="19"/>
              </w:rPr>
            </w:r>
            <w:r>
              <w:rPr>
                <w:b/>
                <w:sz w:val="19"/>
              </w:rPr>
              <w:t>Packs</w:t>
            </w:r>
          </w:p>
        </w:tc>
      </w:tr>
      <w:tr>
        <w:tc>
          <w:tcPr>
            <w:tcW w:type="dxa" w:w="4824"/>
          </w:tcPr>
          <w:p>
            <w:r>
              <w:rPr>
                <w:sz w:val="19"/>
              </w:rPr>
            </w:r>
            <w:r>
              <w:rPr>
                <w:sz w:val="19"/>
              </w:rPr>
              <w:t>Shell and filesystem</w:t>
            </w:r>
          </w:p>
        </w:tc>
        <w:tc>
          <w:tcPr>
            <w:tcW w:type="dxa" w:w="4824"/>
          </w:tcPr>
          <w:p>
            <w:r>
              <w:rPr>
                <w:sz w:val="19"/>
              </w:rPr>
            </w:r>
            <w:r>
              <w:rPr>
                <w:rFonts w:ascii="Courier New" w:hAnsi="Courier New"/>
                <w:sz w:val="19"/>
              </w:rPr>
              <w:t>shell</w:t>
            </w:r>
            <w:r>
              <w:rPr>
                <w:sz w:val="19"/>
              </w:rPr>
              <w:t xml:space="preserve">, </w:t>
            </w:r>
            <w:r>
              <w:rPr>
                <w:rFonts w:ascii="Courier New" w:hAnsi="Courier New"/>
                <w:sz w:val="19"/>
              </w:rPr>
              <w:t>filesystem</w:t>
            </w:r>
          </w:p>
        </w:tc>
      </w:tr>
      <w:tr>
        <w:tc>
          <w:tcPr>
            <w:tcW w:type="dxa" w:w="4824"/>
          </w:tcPr>
          <w:p>
            <w:r>
              <w:rPr>
                <w:sz w:val="19"/>
              </w:rPr>
            </w:r>
            <w:r>
              <w:rPr>
                <w:sz w:val="19"/>
              </w:rPr>
              <w:t>Cloud CLIs</w:t>
            </w:r>
          </w:p>
        </w:tc>
        <w:tc>
          <w:tcPr>
            <w:tcW w:type="dxa" w:w="4824"/>
          </w:tcPr>
          <w:p>
            <w:r>
              <w:rPr>
                <w:sz w:val="19"/>
              </w:rPr>
            </w:r>
            <w:r>
              <w:rPr>
                <w:rFonts w:ascii="Courier New" w:hAnsi="Courier New"/>
                <w:sz w:val="19"/>
              </w:rPr>
              <w:t>aws</w:t>
            </w:r>
            <w:r>
              <w:rPr>
                <w:sz w:val="19"/>
              </w:rPr>
              <w:t xml:space="preserve">, </w:t>
            </w:r>
            <w:r>
              <w:rPr>
                <w:rFonts w:ascii="Courier New" w:hAnsi="Courier New"/>
                <w:sz w:val="19"/>
              </w:rPr>
              <w:t>az</w:t>
            </w:r>
            <w:r>
              <w:rPr>
                <w:sz w:val="19"/>
              </w:rPr>
              <w:t xml:space="preserve">, </w:t>
            </w:r>
            <w:r>
              <w:rPr>
                <w:rFonts w:ascii="Courier New" w:hAnsi="Courier New"/>
                <w:sz w:val="19"/>
              </w:rPr>
              <w:t>gcloud</w:t>
            </w:r>
            <w:r>
              <w:rPr>
                <w:sz w:val="19"/>
              </w:rPr>
              <w:t xml:space="preserve">, </w:t>
            </w:r>
            <w:r>
              <w:rPr>
                <w:rFonts w:ascii="Courier New" w:hAnsi="Courier New"/>
                <w:sz w:val="19"/>
              </w:rPr>
              <w:t>kubectl</w:t>
            </w:r>
            <w:r>
              <w:rPr>
                <w:sz w:val="19"/>
              </w:rPr>
              <w:t xml:space="preserve">, </w:t>
            </w:r>
            <w:r>
              <w:rPr>
                <w:rFonts w:ascii="Courier New" w:hAnsi="Courier New"/>
                <w:sz w:val="19"/>
              </w:rPr>
              <w:t>boto3</w:t>
            </w:r>
          </w:p>
        </w:tc>
      </w:tr>
      <w:tr>
        <w:tc>
          <w:tcPr>
            <w:tcW w:type="dxa" w:w="4824"/>
          </w:tcPr>
          <w:p>
            <w:r>
              <w:rPr>
                <w:sz w:val="19"/>
              </w:rPr>
            </w:r>
            <w:r>
              <w:rPr>
                <w:sz w:val="19"/>
              </w:rPr>
              <w:t>Cloud identity</w:t>
            </w:r>
          </w:p>
        </w:tc>
        <w:tc>
          <w:tcPr>
            <w:tcW w:type="dxa" w:w="4824"/>
          </w:tcPr>
          <w:p>
            <w:r>
              <w:rPr>
                <w:sz w:val="19"/>
              </w:rPr>
            </w:r>
            <w:r>
              <w:rPr>
                <w:rFonts w:ascii="Courier New" w:hAnsi="Courier New"/>
                <w:sz w:val="19"/>
              </w:rPr>
              <w:t>aws-iam</w:t>
            </w:r>
            <w:r>
              <w:rPr>
                <w:sz w:val="19"/>
              </w:rPr>
              <w:t xml:space="preserve">, </w:t>
            </w:r>
            <w:r>
              <w:rPr>
                <w:rFonts w:ascii="Courier New" w:hAnsi="Courier New"/>
                <w:sz w:val="19"/>
              </w:rPr>
              <w:t>az-identity</w:t>
            </w:r>
            <w:r>
              <w:rPr>
                <w:sz w:val="19"/>
              </w:rPr>
              <w:t xml:space="preserve">, </w:t>
            </w:r>
            <w:r>
              <w:rPr>
                <w:rFonts w:ascii="Courier New" w:hAnsi="Courier New"/>
                <w:sz w:val="19"/>
              </w:rPr>
              <w:t>gcp-iam</w:t>
            </w:r>
          </w:p>
        </w:tc>
      </w:tr>
      <w:tr>
        <w:tc>
          <w:tcPr>
            <w:tcW w:type="dxa" w:w="4824"/>
          </w:tcPr>
          <w:p>
            <w:r>
              <w:rPr>
                <w:sz w:val="19"/>
              </w:rPr>
            </w:r>
            <w:r>
              <w:rPr>
                <w:sz w:val="19"/>
              </w:rPr>
              <w:t>Cloud-provider MCPs</w:t>
            </w:r>
          </w:p>
        </w:tc>
        <w:tc>
          <w:tcPr>
            <w:tcW w:type="dxa" w:w="4824"/>
          </w:tcPr>
          <w:p>
            <w:r>
              <w:rPr>
                <w:sz w:val="19"/>
              </w:rPr>
            </w:r>
            <w:r>
              <w:rPr>
                <w:rFonts w:ascii="Courier New" w:hAnsi="Courier New"/>
                <w:sz w:val="19"/>
              </w:rPr>
              <w:t>aws-api-mcp</w:t>
            </w:r>
            <w:r>
              <w:rPr>
                <w:sz w:val="19"/>
              </w:rPr>
              <w:t xml:space="preserve">, </w:t>
            </w:r>
            <w:r>
              <w:rPr>
                <w:rFonts w:ascii="Courier New" w:hAnsi="Courier New"/>
                <w:sz w:val="19"/>
              </w:rPr>
              <w:t>azure-mcp</w:t>
            </w:r>
            <w:r>
              <w:rPr>
                <w:sz w:val="19"/>
              </w:rPr>
              <w:t xml:space="preserve">, </w:t>
            </w:r>
            <w:r>
              <w:rPr>
                <w:rFonts w:ascii="Courier New" w:hAnsi="Courier New"/>
                <w:sz w:val="19"/>
              </w:rPr>
              <w:t>gcp-toolbox</w:t>
            </w:r>
          </w:p>
        </w:tc>
      </w:tr>
      <w:tr>
        <w:tc>
          <w:tcPr>
            <w:tcW w:type="dxa" w:w="4824"/>
          </w:tcPr>
          <w:p>
            <w:r>
              <w:rPr>
                <w:sz w:val="19"/>
              </w:rPr>
            </w:r>
            <w:r>
              <w:rPr>
                <w:sz w:val="19"/>
              </w:rPr>
              <w:t>Developer toolchain</w:t>
            </w:r>
          </w:p>
        </w:tc>
        <w:tc>
          <w:tcPr>
            <w:tcW w:type="dxa" w:w="4824"/>
          </w:tcPr>
          <w:p>
            <w:r>
              <w:rPr>
                <w:sz w:val="19"/>
              </w:rPr>
            </w:r>
            <w:r>
              <w:rPr>
                <w:rFonts w:ascii="Courier New" w:hAnsi="Courier New"/>
                <w:sz w:val="19"/>
              </w:rPr>
              <w:t>git</w:t>
            </w:r>
            <w:r>
              <w:rPr>
                <w:sz w:val="19"/>
              </w:rPr>
              <w:t xml:space="preserve">, </w:t>
            </w:r>
            <w:r>
              <w:rPr>
                <w:rFonts w:ascii="Courier New" w:hAnsi="Courier New"/>
                <w:sz w:val="19"/>
              </w:rPr>
              <w:t>gh</w:t>
            </w:r>
            <w:r>
              <w:rPr>
                <w:sz w:val="19"/>
              </w:rPr>
              <w:t xml:space="preserve">, </w:t>
            </w:r>
            <w:r>
              <w:rPr>
                <w:rFonts w:ascii="Courier New" w:hAnsi="Courier New"/>
                <w:sz w:val="19"/>
              </w:rPr>
              <w:t>github</w:t>
            </w:r>
            <w:r>
              <w:rPr>
                <w:sz w:val="19"/>
              </w:rPr>
              <w:t xml:space="preserve">, </w:t>
            </w:r>
            <w:r>
              <w:rPr>
                <w:rFonts w:ascii="Courier New" w:hAnsi="Courier New"/>
                <w:sz w:val="19"/>
              </w:rPr>
              <w:t>gitlab</w:t>
            </w:r>
            <w:r>
              <w:rPr>
                <w:sz w:val="19"/>
              </w:rPr>
              <w:t xml:space="preserve">, </w:t>
            </w:r>
            <w:r>
              <w:rPr>
                <w:rFonts w:ascii="Courier New" w:hAnsi="Courier New"/>
                <w:sz w:val="19"/>
              </w:rPr>
              <w:t>docker</w:t>
            </w:r>
            <w:r>
              <w:rPr>
                <w:sz w:val="19"/>
              </w:rPr>
              <w:t xml:space="preserve">, </w:t>
            </w:r>
            <w:r>
              <w:rPr>
                <w:rFonts w:ascii="Courier New" w:hAnsi="Courier New"/>
                <w:sz w:val="19"/>
              </w:rPr>
              <w:t>terraform</w:t>
            </w:r>
            <w:r>
              <w:rPr>
                <w:sz w:val="19"/>
              </w:rPr>
              <w:t xml:space="preserve">, </w:t>
            </w:r>
            <w:r>
              <w:rPr>
                <w:rFonts w:ascii="Courier New" w:hAnsi="Courier New"/>
                <w:sz w:val="19"/>
              </w:rPr>
              <w:t>helm</w:t>
            </w:r>
            <w:r>
              <w:rPr>
                <w:sz w:val="19"/>
              </w:rPr>
              <w:t xml:space="preserve">, </w:t>
            </w:r>
            <w:r>
              <w:rPr>
                <w:rFonts w:ascii="Courier New" w:hAnsi="Courier New"/>
                <w:sz w:val="19"/>
              </w:rPr>
              <w:t>npm</w:t>
            </w:r>
            <w:r>
              <w:rPr>
                <w:sz w:val="19"/>
              </w:rPr>
              <w:t xml:space="preserve">, </w:t>
            </w:r>
            <w:r>
              <w:rPr>
                <w:rFonts w:ascii="Courier New" w:hAnsi="Courier New"/>
                <w:sz w:val="19"/>
              </w:rPr>
              <w:t>pip-uv</w:t>
            </w:r>
            <w:r>
              <w:rPr>
                <w:sz w:val="19"/>
              </w:rPr>
              <w:t xml:space="preserve">, </w:t>
            </w:r>
            <w:r>
              <w:rPr>
                <w:rFonts w:ascii="Courier New" w:hAnsi="Courier New"/>
                <w:sz w:val="19"/>
              </w:rPr>
              <w:t>make</w:t>
            </w:r>
          </w:p>
        </w:tc>
      </w:tr>
      <w:tr>
        <w:tc>
          <w:tcPr>
            <w:tcW w:type="dxa" w:w="4824"/>
          </w:tcPr>
          <w:p>
            <w:r>
              <w:rPr>
                <w:sz w:val="19"/>
              </w:rPr>
            </w:r>
            <w:r>
              <w:rPr>
                <w:sz w:val="19"/>
              </w:rPr>
              <w:t>Data</w:t>
            </w:r>
          </w:p>
        </w:tc>
        <w:tc>
          <w:tcPr>
            <w:tcW w:type="dxa" w:w="4824"/>
          </w:tcPr>
          <w:p>
            <w:r>
              <w:rPr>
                <w:sz w:val="19"/>
              </w:rPr>
            </w:r>
            <w:r>
              <w:rPr>
                <w:rFonts w:ascii="Courier New" w:hAnsi="Courier New"/>
                <w:sz w:val="19"/>
              </w:rPr>
              <w:t>sql</w:t>
            </w:r>
            <w:r>
              <w:rPr>
                <w:sz w:val="19"/>
              </w:rPr>
              <w:t xml:space="preserve">, </w:t>
            </w:r>
            <w:r>
              <w:rPr>
                <w:rFonts w:ascii="Courier New" w:hAnsi="Courier New"/>
                <w:sz w:val="19"/>
              </w:rPr>
              <w:t>postgres</w:t>
            </w:r>
          </w:p>
        </w:tc>
      </w:tr>
      <w:tr>
        <w:tc>
          <w:tcPr>
            <w:tcW w:type="dxa" w:w="4824"/>
          </w:tcPr>
          <w:p>
            <w:r>
              <w:rPr>
                <w:sz w:val="19"/>
              </w:rPr>
            </w:r>
            <w:r>
              <w:rPr>
                <w:sz w:val="19"/>
              </w:rPr>
              <w:t>SaaS and collaboration</w:t>
            </w:r>
          </w:p>
        </w:tc>
        <w:tc>
          <w:tcPr>
            <w:tcW w:type="dxa" w:w="4824"/>
          </w:tcPr>
          <w:p>
            <w:r>
              <w:rPr>
                <w:sz w:val="19"/>
              </w:rPr>
            </w:r>
            <w:r>
              <w:rPr>
                <w:rFonts w:ascii="Courier New" w:hAnsi="Courier New"/>
                <w:sz w:val="19"/>
              </w:rPr>
              <w:t>slack</w:t>
            </w:r>
            <w:r>
              <w:rPr>
                <w:sz w:val="19"/>
              </w:rPr>
              <w:t xml:space="preserve">, </w:t>
            </w:r>
            <w:r>
              <w:rPr>
                <w:rFonts w:ascii="Courier New" w:hAnsi="Courier New"/>
                <w:sz w:val="19"/>
              </w:rPr>
              <w:t>jira</w:t>
            </w:r>
            <w:r>
              <w:rPr>
                <w:sz w:val="19"/>
              </w:rPr>
              <w:t xml:space="preserve">, </w:t>
            </w:r>
            <w:r>
              <w:rPr>
                <w:rFonts w:ascii="Courier New" w:hAnsi="Courier New"/>
                <w:sz w:val="19"/>
              </w:rPr>
              <w:t>confluence</w:t>
            </w:r>
            <w:r>
              <w:rPr>
                <w:sz w:val="19"/>
              </w:rPr>
              <w:t xml:space="preserve">, </w:t>
            </w:r>
            <w:r>
              <w:rPr>
                <w:rFonts w:ascii="Courier New" w:hAnsi="Courier New"/>
                <w:sz w:val="19"/>
              </w:rPr>
              <w:t>google-drive</w:t>
            </w:r>
            <w:r>
              <w:rPr>
                <w:sz w:val="19"/>
              </w:rPr>
              <w:t xml:space="preserve">, </w:t>
            </w:r>
            <w:r>
              <w:rPr>
                <w:rFonts w:ascii="Courier New" w:hAnsi="Courier New"/>
                <w:sz w:val="19"/>
              </w:rPr>
              <w:t>ms365</w:t>
            </w:r>
            <w:r>
              <w:rPr>
                <w:sz w:val="19"/>
              </w:rPr>
              <w:t xml:space="preserve">, </w:t>
            </w:r>
            <w:r>
              <w:rPr>
                <w:rFonts w:ascii="Courier New" w:hAnsi="Courier New"/>
                <w:sz w:val="19"/>
              </w:rPr>
              <w:t>servicenow</w:t>
            </w:r>
            <w:r>
              <w:rPr>
                <w:sz w:val="19"/>
              </w:rPr>
              <w:t xml:space="preserve">, </w:t>
            </w:r>
            <w:r>
              <w:rPr>
                <w:rFonts w:ascii="Courier New" w:hAnsi="Courier New"/>
                <w:sz w:val="19"/>
              </w:rPr>
              <w:t>stripe</w:t>
            </w:r>
          </w:p>
        </w:tc>
      </w:tr>
      <w:tr>
        <w:tc>
          <w:tcPr>
            <w:tcW w:type="dxa" w:w="4824"/>
          </w:tcPr>
          <w:p>
            <w:r>
              <w:rPr>
                <w:sz w:val="19"/>
              </w:rPr>
            </w:r>
            <w:r>
              <w:rPr>
                <w:sz w:val="19"/>
              </w:rPr>
              <w:t>Secrets and transfer</w:t>
            </w:r>
          </w:p>
        </w:tc>
        <w:tc>
          <w:tcPr>
            <w:tcW w:type="dxa" w:w="4824"/>
          </w:tcPr>
          <w:p>
            <w:r>
              <w:rPr>
                <w:sz w:val="19"/>
              </w:rPr>
            </w:r>
            <w:r>
              <w:rPr>
                <w:rFonts w:ascii="Courier New" w:hAnsi="Courier New"/>
                <w:sz w:val="19"/>
              </w:rPr>
              <w:t>vault</w:t>
            </w:r>
            <w:r>
              <w:rPr>
                <w:sz w:val="19"/>
              </w:rPr>
              <w:t xml:space="preserve">, </w:t>
            </w:r>
            <w:r>
              <w:rPr>
                <w:rFonts w:ascii="Courier New" w:hAnsi="Courier New"/>
                <w:sz w:val="19"/>
              </w:rPr>
              <w:t>ssh-transfer</w:t>
            </w:r>
          </w:p>
        </w:tc>
      </w:tr>
    </w:tbl>
    <w:p/>
    <w:p>
      <w:r>
        <w:t>The authoritative, generated list — including per-pack tool and rule counts —</w:t>
      </w:r>
    </w:p>
    <w:p>
      <w:r>
        <w:t xml:space="preserve">is </w:t>
      </w:r>
      <w:r>
        <w:rPr>
          <w:rFonts w:ascii="Courier New" w:hAnsi="Courier New"/>
          <w:sz w:val="19"/>
        </w:rPr>
        <w:t>docs/governance-packs/catalog.md</w:t>
      </w:r>
      <w:r>
        <w:t xml:space="preserve">. Packs carry a </w:t>
      </w:r>
      <w:r>
        <w:rPr>
          <w:rFonts w:ascii="Courier New" w:hAnsi="Courier New"/>
          <w:sz w:val="19"/>
        </w:rPr>
        <w:t>content_hash</w:t>
      </w:r>
      <w:r>
        <w:t xml:space="preserve"> and an</w:t>
      </w:r>
    </w:p>
    <w:p>
      <w:r>
        <w:t>optional Ed25519 signature so a deployment can pin exactly the classification</w:t>
      </w:r>
    </w:p>
    <w:p>
      <w:r>
        <w:t>logic it reviewed; see §9.6.</w:t>
      </w:r>
    </w:p>
    <w:p>
      <w:r>
        <w:t xml:space="preserve">&gt; </w:t>
      </w:r>
      <w:r>
        <w:rPr>
          <w:b/>
        </w:rPr>
        <w:t>Note.</w:t>
      </w:r>
      <w:r>
        <w:t xml:space="preserve"> The </w:t>
      </w:r>
      <w:r>
        <w:rPr>
          <w:rFonts w:ascii="Courier New" w:hAnsi="Courier New"/>
          <w:sz w:val="19"/>
        </w:rPr>
        <w:t>shell</w:t>
      </w:r>
      <w:r>
        <w:t xml:space="preserve"> pack is </w:t>
      </w:r>
      <w:r>
        <w:rPr>
          <w:b/>
        </w:rPr>
        <w:t>advisory</w:t>
      </w:r>
      <w:r>
        <w:t>. The hand-tuned</w:t>
      </w:r>
    </w:p>
    <w:p>
      <w:r>
        <w:t xml:space="preserve">&gt; </w:t>
      </w:r>
      <w:r>
        <w:rPr>
          <w:rFonts w:ascii="Courier New" w:hAnsi="Courier New"/>
          <w:sz w:val="19"/>
        </w:rPr>
        <w:t>rmacd.registry.bash</w:t>
      </w:r>
      <w:r>
        <w:t xml:space="preserve"> engine remains the enforcing classifier for shell</w:t>
      </w:r>
    </w:p>
    <w:p>
      <w:r>
        <w:t>&gt; commands — the pack under-classifies constructs the declarative language</w:t>
      </w:r>
    </w:p>
    <w:p>
      <w:r>
        <w:t xml:space="preserve">&gt; cannot yet express (shell redirects, </w:t>
      </w:r>
      <w:r>
        <w:rPr>
          <w:rFonts w:ascii="Courier New" w:hAnsi="Courier New"/>
          <w:sz w:val="19"/>
        </w:rPr>
        <w:t>-c</w:t>
      </w:r>
      <w:r>
        <w:t>/</w:t>
      </w:r>
      <w:r>
        <w:rPr>
          <w:rFonts w:ascii="Courier New" w:hAnsi="Courier New"/>
          <w:sz w:val="19"/>
        </w:rPr>
        <w:t>eval</w:t>
      </w:r>
      <w:r>
        <w:t xml:space="preserve"> payloads, flag-elevated</w:t>
      </w:r>
    </w:p>
    <w:p>
      <w:r>
        <w:t xml:space="preserve">&gt; commands such as </w:t>
      </w:r>
      <w:r>
        <w:rPr>
          <w:rFonts w:ascii="Courier New" w:hAnsi="Courier New"/>
          <w:sz w:val="19"/>
        </w:rPr>
        <w:t>find -delete</w:t>
      </w:r>
      <w:r>
        <w:t xml:space="preserve">). See </w:t>
      </w:r>
      <w:r>
        <w:rPr>
          <w:rFonts w:ascii="Courier New" w:hAnsi="Courier New"/>
          <w:sz w:val="19"/>
        </w:rPr>
        <w:t>docs/governance-packs/design.md</w:t>
      </w:r>
      <w:r>
        <w:t xml:space="preserve"> §8.</w:t>
      </w:r>
    </w:p>
    <w:p>
      <w:pPr>
        <w:pStyle w:val="Heading3"/>
      </w:pPr>
      <w:r>
        <w:t>Standard Permission Profiles</w:t>
      </w:r>
    </w:p>
    <w:p>
      <w:r>
        <w:t>The cumulative permission model (§3) yields a natural ladder of agent roles.</w:t>
      </w:r>
    </w:p>
    <w:p>
      <w:r>
        <w:t xml:space="preserve">These are </w:t>
      </w:r>
      <w:r>
        <w:rPr>
          <w:b/>
        </w:rPr>
        <w:t>conceptual templates</w:t>
      </w:r>
      <w:r>
        <w:t>, not identifiers the SDK resolves — a</w:t>
      </w:r>
    </w:p>
    <w:p>
      <w:r>
        <w:t>profile is whatever its JSON declares: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Template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Logistics</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Provisioning</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Operations</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r>
        <w:t>Note that even Administrator cannot perform Add, Change, or Delete on</w:t>
      </w:r>
    </w:p>
    <w:p>
      <w:r>
        <w:t>Restricted data — that boundary is immutable (§12.5) and is enforced beneath</w:t>
      </w:r>
    </w:p>
    <w:p>
      <w:r>
        <w:t>any permission grant.</w:t>
      </w:r>
    </w:p>
    <w:p>
      <w:r>
        <w:t xml:space="preserve">Worked example profiles ship in </w:t>
      </w:r>
      <w:r>
        <w:rPr>
          <w:rFonts w:ascii="Courier New" w:hAnsi="Courier New"/>
          <w:sz w:val="19"/>
        </w:rPr>
        <w:t>schemas/examples/</w:t>
      </w:r>
      <w:r>
        <w:t>:</w:t>
      </w:r>
    </w:p>
    <w:p>
      <w:r>
        <w:rPr>
          <w:rFonts w:ascii="Courier New" w:hAnsi="Courier New"/>
          <w:sz w:val="19"/>
        </w:rPr>
        <w:t>observer-2d</w:t>
      </w:r>
      <w:r>
        <w:t xml:space="preserve">, </w:t>
      </w:r>
      <w:r>
        <w:rPr>
          <w:rFonts w:ascii="Courier New" w:hAnsi="Courier New"/>
          <w:sz w:val="19"/>
        </w:rPr>
        <w:t>observer-3d</w:t>
      </w:r>
      <w:r>
        <w:t xml:space="preserve">, </w:t>
      </w:r>
      <w:r>
        <w:rPr>
          <w:rFonts w:ascii="Courier New" w:hAnsi="Courier New"/>
          <w:sz w:val="19"/>
        </w:rPr>
        <w:t>operations-2d</w:t>
      </w:r>
      <w:r>
        <w:t xml:space="preserve">, </w:t>
      </w:r>
      <w:r>
        <w:rPr>
          <w:rFonts w:ascii="Courier New" w:hAnsi="Courier New"/>
          <w:sz w:val="19"/>
        </w:rPr>
        <w:t>monitoring-3d</w:t>
      </w:r>
      <w:r>
        <w:t xml:space="preserve">, </w:t>
      </w:r>
      <w:r>
        <w:rPr>
          <w:rFonts w:ascii="Courier New" w:hAnsi="Courier New"/>
          <w:sz w:val="19"/>
        </w:rPr>
        <w:t>devops-3d</w:t>
      </w:r>
      <w:r>
        <w:t>,</w:t>
      </w:r>
    </w:p>
    <w:p>
      <w:r>
        <w:rPr>
          <w:rFonts w:ascii="Courier New" w:hAnsi="Courier New"/>
          <w:sz w:val="19"/>
        </w:rPr>
        <w:t>incident-responder-3d</w:t>
      </w:r>
      <w:r>
        <w:t xml:space="preserve">, </w:t>
      </w:r>
      <w:r>
        <w:rPr>
          <w:rFonts w:ascii="Courier New" w:hAnsi="Courier New"/>
          <w:sz w:val="19"/>
        </w:rPr>
        <w:t>administrator-3d</w:t>
      </w:r>
      <w:r>
        <w:t xml:space="preserve">, and </w:t>
      </w:r>
      <w:r>
        <w:rPr>
          <w:rFonts w:ascii="Courier New" w:hAnsi="Courier New"/>
          <w:sz w:val="19"/>
        </w:rPr>
        <w:t>regulated-data-handler-dc2d</w:t>
      </w:r>
      <w:r>
        <w:t>.</w:t>
      </w:r>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2"/>
      </w:pPr>
      <w:r>
        <w:t>9.6 Governance Packs</w:t>
      </w:r>
    </w:p>
    <w:p>
      <w:r>
        <w:t xml:space="preserve">A </w:t>
      </w:r>
      <w:r>
        <w:rPr>
          <w:b/>
        </w:rPr>
        <w:t>Governance Pack</w:t>
      </w:r>
      <w:r>
        <w:t xml:space="preserve"> is a declarative, versionable document that maps tool</w:t>
      </w:r>
    </w:p>
    <w:p>
      <w:r>
        <w:t xml:space="preserve">calls to </w:t>
      </w:r>
      <w:r>
        <w:rPr>
          <w:rFonts w:ascii="Courier New" w:hAnsi="Courier New"/>
          <w:sz w:val="19"/>
        </w:rPr>
        <w:t>(operation, classification, target)</w:t>
      </w:r>
      <w:r>
        <w:t>. Packs move classification out</w:t>
      </w:r>
    </w:p>
    <w:p>
      <w:r>
        <w:t>of code and into reviewable data, so onboarding a tool surface becomes</w:t>
      </w:r>
    </w:p>
    <w:p>
      <w:r>
        <w:t>configuration rather than a code change.</w:t>
      </w:r>
    </w:p>
    <w:p>
      <w:r>
        <w:t>A pack declares:</w:t>
      </w:r>
    </w:p>
    <w:p>
      <w:pPr>
        <w:pStyle w:val="ListBullet"/>
      </w:pPr>
      <w:r>
        <w:rPr>
          <w:b/>
        </w:rPr>
        <w:t>Selectors</w:t>
      </w:r>
      <w:r>
        <w:t xml:space="preserve"> — which tool a rule applies to (exact name, glob, or regex),</w:t>
      </w:r>
    </w:p>
    <w:p>
      <w:r>
        <w:t>optionally narrowed by argument predicates.</w:t>
      </w:r>
    </w:p>
    <w:p>
      <w:pPr>
        <w:pStyle w:val="ListBullet"/>
      </w:pPr>
      <w:r>
        <w:rPr>
          <w:b/>
        </w:rPr>
        <w:t>Extraction</w:t>
      </w:r>
      <w:r>
        <w:t xml:space="preserve"> — how to reach the meaningful argument: wrapper stripping,</w:t>
      </w:r>
    </w:p>
    <w:p>
      <w:r>
        <w:t xml:space="preserve">tokenization, and recursion into </w:t>
      </w:r>
      <w:r>
        <w:rPr>
          <w:rFonts w:ascii="Courier New" w:hAnsi="Courier New"/>
          <w:sz w:val="19"/>
        </w:rPr>
        <w:t>$(...)</w:t>
      </w:r>
      <w:r>
        <w:t xml:space="preserve"> substitution.</w:t>
      </w:r>
    </w:p>
    <w:p>
      <w:pPr>
        <w:pStyle w:val="ListBullet"/>
      </w:pPr>
      <w:r>
        <w:rPr>
          <w:b/>
        </w:rPr>
        <w:t>A `verb_table`</w:t>
      </w:r>
      <w:r>
        <w:t xml:space="preserve"> — token-to-operation mapping, combined by **MAX</w:t>
      </w:r>
    </w:p>
    <w:p>
      <w:r>
        <w:t xml:space="preserve">operation**, with a fail-closed </w:t>
      </w:r>
      <w:r>
        <w:rPr>
          <w:rFonts w:ascii="Courier New" w:hAnsi="Courier New"/>
          <w:sz w:val="19"/>
        </w:rPr>
        <w:t>default_operation</w:t>
      </w:r>
      <w:r>
        <w:t>.</w:t>
      </w:r>
    </w:p>
    <w:p>
      <w:pPr>
        <w:pStyle w:val="ListBullet"/>
      </w:pPr>
      <w:r>
        <w:rPr>
          <w:b/>
        </w:rPr>
        <w:t>A `pattern_map`</w:t>
      </w:r>
      <w:r>
        <w:t xml:space="preserve"> — target-to-classification mapping, resolved</w:t>
      </w:r>
    </w:p>
    <w:p>
      <w:r>
        <w:t xml:space="preserve">most-sensitive-wins, plus a </w:t>
      </w:r>
      <w:r>
        <w:rPr>
          <w:rFonts w:ascii="Courier New" w:hAnsi="Courier New"/>
          <w:sz w:val="19"/>
        </w:rPr>
        <w:t>target</w:t>
      </w:r>
      <w:r>
        <w:t xml:space="preserve"> template.</w:t>
      </w:r>
    </w:p>
    <w:p>
      <w:pPr>
        <w:pStyle w:val="ListBullet"/>
      </w:pPr>
      <w:r>
        <w:rPr>
          <w:b/>
        </w:rPr>
        <w:t>A capability ceiling</w:t>
      </w:r>
      <w:r>
        <w:t xml:space="preserve"> — the most a tool may </w:t>
      </w:r>
      <w:r>
        <w:rPr>
          <w:i/>
        </w:rPr>
        <w:t>ever</w:t>
      </w:r>
      <w:r>
        <w:t xml:space="preserve"> do, independent of the</w:t>
      </w:r>
    </w:p>
    <w:p>
      <w:r>
        <w:t>calling profile.</w:t>
      </w:r>
    </w:p>
    <w:p>
      <w:pPr>
        <w:pStyle w:val="Heading3"/>
      </w:pPr>
      <w:r>
        <w:t>Normative requirements</w:t>
      </w:r>
    </w:p>
    <w:p>
      <w:pPr>
        <w:pStyle w:val="ListNumber"/>
      </w:pPr>
      <w:r>
        <w:rPr>
          <w:b/>
        </w:rPr>
        <w:t>Determinism.</w:t>
      </w:r>
      <w:r>
        <w:t xml:space="preserve"> Pack evaluation MUST be a pure function of the pack set and</w:t>
      </w:r>
    </w:p>
    <w:p>
      <w:r>
        <w:t xml:space="preserve">the tool call. An LLM MAY assist at </w:t>
      </w:r>
      <w:r>
        <w:rPr>
          <w:i/>
        </w:rPr>
        <w:t>authoring</w:t>
      </w:r>
      <w:r>
        <w:t xml:space="preserve"> time; it MUST NOT</w:t>
      </w:r>
    </w:p>
    <w:p>
      <w:r>
        <w:t>participate in a runtime decision.</w:t>
      </w:r>
    </w:p>
    <w:p>
      <w:pPr>
        <w:pStyle w:val="ListNumber"/>
      </w:pPr>
      <w:r>
        <w:rPr>
          <w:b/>
        </w:rPr>
        <w:t>Composition never weakens.</w:t>
      </w:r>
      <w:r>
        <w:t xml:space="preserve"> When multiple packs match a call, the result</w:t>
      </w:r>
    </w:p>
    <w:p>
      <w:r>
        <w:t xml:space="preserve">is the </w:t>
      </w:r>
      <w:r>
        <w:rPr>
          <w:b/>
        </w:rPr>
        <w:t>most severe asserted operation</w:t>
      </w:r>
      <w:r>
        <w:t xml:space="preserve"> and the </w:t>
      </w:r>
      <w:r>
        <w:rPr>
          <w:b/>
        </w:rPr>
        <w:t>most sensitive tier</w:t>
      </w:r>
      <w:r>
        <w:t>.</w:t>
      </w:r>
    </w:p>
    <w:p>
      <w:r>
        <w:t xml:space="preserve">Severity is applied as a floor </w:t>
      </w:r>
      <w:r>
        <w:rPr>
          <w:i/>
        </w:rPr>
        <w:t>before</w:t>
      </w:r>
      <w:r>
        <w:t xml:space="preserve"> specificity ranking, so a more</w:t>
      </w:r>
    </w:p>
    <w:p>
      <w:r>
        <w:t>specific rule can never lower an operation asserted by a less specific one.</w:t>
      </w:r>
    </w:p>
    <w:p>
      <w:r>
        <w:t>A rule asserting no operation MUST contribute no operation claim.</w:t>
      </w:r>
    </w:p>
    <w:p>
      <w:pPr>
        <w:pStyle w:val="ListNumber"/>
      </w:pPr>
      <w:r>
        <w:rPr>
          <w:b/>
        </w:rPr>
        <w:t>Segment independence.</w:t>
      </w:r>
      <w:r>
        <w:t xml:space="preserve"> A compound shell command is resolved per segment</w:t>
      </w:r>
    </w:p>
    <w:p>
      <w:r>
        <w:t xml:space="preserve">(split on </w:t>
      </w:r>
      <w:r>
        <w:rPr>
          <w:rFonts w:ascii="Courier New" w:hAnsi="Courier New"/>
          <w:sz w:val="19"/>
        </w:rPr>
        <w:t>;</w:t>
      </w:r>
      <w:r>
        <w:t xml:space="preserve">, </w:t>
      </w:r>
      <w:r>
        <w:rPr>
          <w:rFonts w:ascii="Courier New" w:hAnsi="Courier New"/>
          <w:sz w:val="19"/>
        </w:rPr>
        <w:t>&amp;&amp;</w:t>
      </w:r>
      <w:r>
        <w:t xml:space="preserve">, </w:t>
      </w:r>
      <w:r>
        <w:rPr>
          <w:rFonts w:ascii="Courier New" w:hAnsi="Courier New"/>
          <w:sz w:val="19"/>
        </w:rPr>
        <w:t>||</w:t>
      </w:r>
      <w:r>
        <w:t xml:space="preserve">, </w:t>
      </w:r>
      <w:r>
        <w:rPr>
          <w:rFonts w:ascii="Courier New" w:hAnsi="Courier New"/>
          <w:sz w:val="19"/>
        </w:rPr>
        <w:t>|</w:t>
      </w:r>
      <w:r>
        <w:t xml:space="preserve">, and bare </w:t>
      </w:r>
      <w:r>
        <w:rPr>
          <w:rFonts w:ascii="Courier New" w:hAnsi="Courier New"/>
          <w:sz w:val="19"/>
        </w:rPr>
        <w:t>&amp;</w:t>
      </w:r>
      <w:r>
        <w:t>); the result is the maximum</w:t>
      </w:r>
    </w:p>
    <w:p>
      <w:r>
        <w:t xml:space="preserve">across segments. </w:t>
      </w:r>
      <w:r>
        <w:rPr>
          <w:rFonts w:ascii="Courier New" w:hAnsi="Courier New"/>
          <w:sz w:val="19"/>
        </w:rPr>
        <w:t>git log; shred x</w:t>
      </w:r>
      <w:r>
        <w:t xml:space="preserve"> is a Delete.</w:t>
      </w:r>
    </w:p>
    <w:p>
      <w:pPr>
        <w:pStyle w:val="ListNumber"/>
      </w:pPr>
      <w:r>
        <w:rPr>
          <w:b/>
        </w:rPr>
        <w:t>Binary anchoring.</w:t>
      </w:r>
      <w:r>
        <w:t xml:space="preserve"> A rule naming both shell tools and real binaries MUST</w:t>
      </w:r>
    </w:p>
    <w:p>
      <w:r>
        <w:t>require one of those binaries as a command token, so an overlay cannot claim</w:t>
      </w:r>
    </w:p>
    <w:p>
      <w:r>
        <w:t>an unrelated binary's invocation.</w:t>
      </w:r>
    </w:p>
    <w:p>
      <w:pPr>
        <w:pStyle w:val="ListNumber"/>
      </w:pPr>
      <w:r>
        <w:rPr>
          <w:b/>
        </w:rPr>
        <w:t>The pack layer is subordinate.</w:t>
      </w:r>
      <w:r>
        <w:t xml:space="preserve"> Classification is </w:t>
      </w:r>
      <w:r>
        <w:rPr>
          <w:i/>
        </w:rPr>
        <w:t>input</w:t>
      </w:r>
      <w:r>
        <w:t xml:space="preserve"> to enforcement.</w:t>
      </w:r>
    </w:p>
    <w:p>
      <w:r>
        <w:t>The profile, the tool capability ceiling, and the §12.5 immutable floor</w:t>
      </w:r>
    </w:p>
    <w:p>
      <w:r>
        <w:t>always gate the resulting call.</w:t>
      </w:r>
    </w:p>
    <w:p>
      <w:pPr>
        <w:pStyle w:val="Heading3"/>
      </w:pPr>
      <w:r>
        <w:t>Integrity</w:t>
      </w:r>
    </w:p>
    <w:p>
      <w:r>
        <w:t xml:space="preserve">Each pack carries a canonical </w:t>
      </w:r>
      <w:r>
        <w:rPr>
          <w:rFonts w:ascii="Courier New" w:hAnsi="Courier New"/>
          <w:sz w:val="19"/>
        </w:rPr>
        <w:t>content_hash</w:t>
      </w:r>
      <w:r>
        <w:t>; packs MAY carry a detached</w:t>
      </w:r>
    </w:p>
    <w:p>
      <w:r>
        <w:t>Ed25519 signature over it. A deployment SHOULD pin the packs it has reviewed</w:t>
      </w:r>
    </w:p>
    <w:p>
      <w:r>
        <w:t xml:space="preserve">and load with signature verification required. </w:t>
      </w:r>
      <w:r>
        <w:rPr>
          <w:rFonts w:ascii="Courier New" w:hAnsi="Courier New"/>
          <w:sz w:val="19"/>
        </w:rPr>
        <w:t>source_hash</w:t>
      </w:r>
      <w:r>
        <w:t xml:space="preserve"> capture supports</w:t>
      </w:r>
    </w:p>
    <w:p>
      <w:r>
        <w:t>drift detection: when an upstream tool surface changes, affected tools are</w:t>
      </w:r>
    </w:p>
    <w:p>
      <w:r>
        <w:t>flagged for re-review rather than silently reclassified.</w:t>
      </w:r>
    </w:p>
    <w:p>
      <w:r>
        <w:t xml:space="preserve">The reference SDK ships </w:t>
      </w:r>
      <w:r>
        <w:rPr>
          <w:b/>
        </w:rPr>
        <w:t>34 built-in packs</w:t>
      </w:r>
      <w:r>
        <w:t xml:space="preserve"> (§9.4) and the CLI verbs</w:t>
      </w:r>
    </w:p>
    <w:p>
      <w:r>
        <w:rPr>
          <w:rFonts w:ascii="Courier New" w:hAnsi="Courier New"/>
          <w:sz w:val="19"/>
        </w:rPr>
        <w:t>rmacd classify</w:t>
      </w:r>
      <w:r>
        <w:t xml:space="preserve">, </w:t>
      </w:r>
      <w:r>
        <w:rPr>
          <w:rFonts w:ascii="Courier New" w:hAnsi="Courier New"/>
          <w:sz w:val="19"/>
        </w:rPr>
        <w:t>rmacd pack validate|review|sign|verify|diff</w:t>
      </w:r>
      <w:r>
        <w:t>. Design</w:t>
      </w:r>
    </w:p>
    <w:p>
      <w:r>
        <w:t xml:space="preserve">rationale and the authoring workflow are in </w:t>
      </w:r>
      <w:r>
        <w:rPr>
          <w:rFonts w:ascii="Courier New" w:hAnsi="Courier New"/>
          <w:sz w:val="19"/>
        </w:rPr>
        <w:t>docs/governance-packs/</w:t>
      </w:r>
      <w:r>
        <w:t>.</w:t>
      </w:r>
    </w:p>
    <w:p>
      <w:pPr>
        <w:pStyle w:val="Heading2"/>
      </w:pPr>
      <w:r>
        <w:t>9.7 Session Governance</w:t>
      </w:r>
    </w:p>
    <w:p>
      <w:r>
        <w:t xml:space="preserve">Sections 9.4–9.6 govern an agent </w:t>
      </w:r>
      <w:r>
        <w:rPr>
          <w:i/>
        </w:rPr>
        <w:t>an integrator builds</w:t>
      </w:r>
      <w:r>
        <w:t>. Session governance</w:t>
      </w:r>
    </w:p>
    <w:p>
      <w:r>
        <w:t>covers the other case: a general-purpose coding agent, run by a human, whose</w:t>
      </w:r>
    </w:p>
    <w:p>
      <w:r>
        <w:t>tool calls should be subject to the same profile.</w:t>
      </w:r>
    </w:p>
    <w:p>
      <w:r>
        <w:t xml:space="preserve">The reference implementation governs Claude Code through its </w:t>
      </w:r>
      <w:r>
        <w:rPr>
          <w:rFonts w:ascii="Courier New" w:hAnsi="Courier New"/>
          <w:sz w:val="19"/>
        </w:rPr>
        <w:t>PreToolUse</w:t>
      </w:r>
    </w:p>
    <w:p>
      <w:r>
        <w:t>hook. The model generalizes to any agent runtime offering a synchronous</w:t>
      </w:r>
    </w:p>
    <w:p>
      <w:r>
        <w:t>pre-execution interception point.</w:t>
      </w:r>
    </w:p>
    <w:p>
      <w:pPr>
        <w:pStyle w:val="Heading3"/>
      </w:pPr>
      <w:r>
        <w:t>Binding</w:t>
      </w:r>
    </w:p>
    <w:p>
      <w:r>
        <w:t xml:space="preserve">A session is </w:t>
      </w:r>
      <w:r>
        <w:rPr>
          <w:b/>
        </w:rPr>
        <w:t>bound</w:t>
      </w:r>
      <w:r>
        <w:t xml:space="preserve"> when a profile resolves, searched in this order:</w:t>
      </w:r>
    </w:p>
    <w:p>
      <w:pPr>
        <w:pStyle w:val="ListNumber"/>
      </w:pPr>
      <w:r>
        <w:rPr>
          <w:rFonts w:ascii="Courier New" w:hAnsi="Courier New"/>
          <w:sz w:val="19"/>
        </w:rPr>
        <w:t>RMACD_PROFILE_PATH</w:t>
      </w:r>
      <w:r>
        <w:t xml:space="preserve"> (explicit, wins outright).</w:t>
      </w:r>
    </w:p>
    <w:p>
      <w:pPr>
        <w:pStyle w:val="ListNumber"/>
      </w:pPr>
      <w:r>
        <w:rPr>
          <w:rFonts w:ascii="Courier New" w:hAnsi="Courier New"/>
          <w:sz w:val="19"/>
        </w:rPr>
        <w:t>&lt;cwd&gt;/.claude/rmacd-profile.json</w:t>
      </w:r>
      <w:r>
        <w:t>, then each parent directory —</w:t>
      </w:r>
    </w:p>
    <w:p>
      <w:r>
        <w:t>nearest wins, so a subproject may bind a stricter profile than its root.</w:t>
      </w:r>
    </w:p>
    <w:p>
      <w:pPr>
        <w:pStyle w:val="ListNumber"/>
      </w:pPr>
      <w:r>
        <w:rPr>
          <w:rFonts w:ascii="Courier New" w:hAnsi="Courier New"/>
          <w:sz w:val="19"/>
        </w:rPr>
        <w:t>$CLAUDE_PROJECT_DIR/.claude/rmacd-profile.json</w:t>
      </w:r>
      <w:r>
        <w:t>.</w:t>
      </w:r>
    </w:p>
    <w:p>
      <w:r>
        <w:t>The upward walk is required, not optional: session working directories change</w:t>
      </w:r>
    </w:p>
    <w:p>
      <w:r>
        <w:t>during normal use, and resolving only the exact cwd silently unbinds the</w:t>
      </w:r>
    </w:p>
    <w:p>
      <w:r>
        <w:t>session.</w:t>
      </w:r>
    </w:p>
    <w:p>
      <w:pPr>
        <w:pStyle w:val="Heading3"/>
      </w:pPr>
      <w:r>
        <w:t>Normative fail modes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State</w:t>
            </w:r>
          </w:p>
        </w:tc>
        <w:tc>
          <w:tcPr>
            <w:tcW w:type="dxa" w:w="4824"/>
          </w:tcPr>
          <w:p>
            <w:r>
              <w:rPr>
                <w:b/>
                <w:sz w:val="19"/>
              </w:rPr>
            </w:r>
            <w:r>
              <w:rPr>
                <w:b/>
                <w:sz w:val="19"/>
              </w:rPr>
              <w:t>Required behavior</w:t>
            </w:r>
          </w:p>
        </w:tc>
      </w:tr>
      <w:tr>
        <w:tc>
          <w:tcPr>
            <w:tcW w:type="dxa" w:w="4824"/>
          </w:tcPr>
          <w:p>
            <w:r>
              <w:rPr>
                <w:sz w:val="19"/>
              </w:rPr>
            </w:r>
            <w:r>
              <w:rPr>
                <w:sz w:val="19"/>
              </w:rPr>
              <w:t>No profile bound</w:t>
            </w:r>
          </w:p>
        </w:tc>
        <w:tc>
          <w:tcPr>
            <w:tcW w:type="dxa" w:w="4824"/>
          </w:tcPr>
          <w:p>
            <w:r>
              <w:rPr>
                <w:sz w:val="19"/>
              </w:rPr>
            </w:r>
            <w:r>
              <w:rPr>
                <w:sz w:val="19"/>
              </w:rPr>
              <w:t>Passthrough. Emit no decision; the host's own permission flow is unchanged. Notify once.</w:t>
            </w:r>
          </w:p>
        </w:tc>
      </w:tr>
      <w:tr>
        <w:tc>
          <w:tcPr>
            <w:tcW w:type="dxa" w:w="4824"/>
          </w:tcPr>
          <w:p>
            <w:r>
              <w:rPr>
                <w:sz w:val="19"/>
              </w:rPr>
            </w:r>
            <w:r>
              <w:rPr>
                <w:sz w:val="19"/>
              </w:rPr>
              <w:t>Bound, hook errors</w:t>
            </w:r>
          </w:p>
        </w:tc>
        <w:tc>
          <w:tcPr>
            <w:tcW w:type="dxa" w:w="4824"/>
          </w:tcPr>
          <w:p>
            <w:r>
              <w:rPr>
                <w:sz w:val="19"/>
              </w:rPr>
            </w:r>
            <w:r>
              <w:rPr>
                <w:b/>
                <w:sz w:val="19"/>
              </w:rPr>
              <w:t>Deny</w:t>
            </w:r>
            <w:r>
              <w:rPr>
                <w:sz w:val="19"/>
              </w:rPr>
              <w:t>, with a diagnostic reason. Covers invalid profile, malformed input, and unexpected exceptions.</w:t>
            </w:r>
          </w:p>
        </w:tc>
      </w:tr>
      <w:tr>
        <w:tc>
          <w:tcPr>
            <w:tcW w:type="dxa" w:w="4824"/>
          </w:tcPr>
          <w:p>
            <w:r>
              <w:rPr>
                <w:sz w:val="19"/>
              </w:rPr>
            </w:r>
            <w:r>
              <w:rPr>
                <w:sz w:val="19"/>
              </w:rPr>
              <w:t>Bound, unknown tool</w:t>
            </w:r>
          </w:p>
        </w:tc>
        <w:tc>
          <w:tcPr>
            <w:tcW w:type="dxa" w:w="4824"/>
          </w:tcPr>
          <w:p>
            <w:r>
              <w:rPr>
                <w:sz w:val="19"/>
              </w:rPr>
            </w:r>
            <w:r>
              <w:rPr>
                <w:sz w:val="19"/>
              </w:rPr>
              <w:t>Deny by default; MAY be configured to route to the host's approval prompt instead.</w:t>
            </w:r>
          </w:p>
        </w:tc>
      </w:tr>
      <w:tr>
        <w:tc>
          <w:tcPr>
            <w:tcW w:type="dxa" w:w="4824"/>
          </w:tcPr>
          <w:p>
            <w:r>
              <w:rPr>
                <w:sz w:val="19"/>
              </w:rPr>
            </w:r>
            <w:r>
              <w:rPr>
                <w:sz w:val="19"/>
              </w:rPr>
              <w:t>Bound, governance layer unavailable</w:t>
            </w:r>
          </w:p>
        </w:tc>
        <w:tc>
          <w:tcPr>
            <w:tcW w:type="dxa" w:w="4824"/>
          </w:tcPr>
          <w:p>
            <w:r>
              <w:rPr>
                <w:sz w:val="19"/>
              </w:rPr>
            </w:r>
            <w:r>
              <w:rPr>
                <w:b/>
                <w:sz w:val="19"/>
              </w:rPr>
              <w:t>Deny.</w:t>
            </w:r>
            <w:r>
              <w:rPr>
                <w:sz w:val="19"/>
              </w:rPr>
              <w:t xml:space="preserve"> See below.</w:t>
            </w:r>
          </w:p>
        </w:tc>
      </w:tr>
    </w:tbl>
    <w:p/>
    <w:p>
      <w:r>
        <w:t>The last row is the one most easily missed. If the host treats a failed hook as</w:t>
      </w:r>
    </w:p>
    <w:p>
      <w:r>
        <w:t>non-blocking — as Claude Code does — then a missing or unimportable SDK yields</w:t>
      </w:r>
    </w:p>
    <w:p>
      <w:r>
        <w:t xml:space="preserve">an </w:t>
      </w:r>
      <w:r>
        <w:rPr>
          <w:b/>
        </w:rPr>
        <w:t>ungoverned session with no error surfaced to the user</w:t>
      </w:r>
      <w:r>
        <w:t>. A conforming</w:t>
      </w:r>
    </w:p>
    <w:p>
      <w:r>
        <w:t>implementation MUST therefore detect "a profile is configured but governance</w:t>
      </w:r>
    </w:p>
    <w:p>
      <w:r>
        <w:t>cannot run" and deny, rather than relying on the hook process itself to be</w:t>
      </w:r>
    </w:p>
    <w:p>
      <w:r>
        <w:t>present and healthy.</w:t>
      </w:r>
    </w:p>
    <w:p>
      <w:r>
        <w:t>One residual fail-open cannot be closed from inside the hook: if the host</w:t>
      </w:r>
    </w:p>
    <w:p>
      <w:r>
        <w:t xml:space="preserve">imposes a </w:t>
      </w:r>
      <w:r>
        <w:rPr>
          <w:b/>
        </w:rPr>
        <w:t>timeout</w:t>
      </w:r>
      <w:r>
        <w:t xml:space="preserve"> and the hook exceeds it, a host that treats a failed hook</w:t>
      </w:r>
    </w:p>
    <w:p>
      <w:r>
        <w:t>as non-blocking proceeds ungoverned. Fail-closed logic covers everything the</w:t>
      </w:r>
    </w:p>
    <w:p>
      <w:r>
        <w:t>hook can observe; it cannot cover never returning an answer. Implementations</w:t>
      </w:r>
    </w:p>
    <w:p>
      <w:r>
        <w:t>SHOULD keep the decision path free of network and disk latency — it needs only</w:t>
      </w:r>
    </w:p>
    <w:p>
      <w:r>
        <w:t>the profile and an in-memory evaluation — and deployments SHOULD set the</w:t>
      </w:r>
    </w:p>
    <w:p>
      <w:r>
        <w:t>timeout with margin for cold caches and loaded hosts. Conforming</w:t>
      </w:r>
    </w:p>
    <w:p>
      <w:r>
        <w:t>implementations MUST document this gap rather than claim fail-closed is total.</w:t>
      </w:r>
    </w:p>
    <w:p>
      <w:r>
        <w:t>Where autonomy resolves to approval, the hook SHOULD surface the host's own</w:t>
      </w:r>
    </w:p>
    <w:p>
      <w:r>
        <w:t>permission prompt rather than blocking on an out-of-band gateway: the hook</w:t>
      </w:r>
    </w:p>
    <w:p>
      <w:r>
        <w:t>process is short-lived and has no interactive input.</w:t>
      </w:r>
    </w:p>
    <w:p>
      <w:r>
        <w:t xml:space="preserve">Tool calls made inside </w:t>
      </w:r>
      <w:r>
        <w:rPr>
          <w:b/>
        </w:rPr>
        <w:t>subagents</w:t>
      </w:r>
      <w:r>
        <w:t xml:space="preserve"> are governed identically — the hook fires</w:t>
      </w:r>
    </w:p>
    <w:p>
      <w:r>
        <w:t>for them as it does in the main conversation.</w:t>
      </w:r>
    </w:p>
    <w:p>
      <w:pPr>
        <w:pStyle w:val="Heading2"/>
      </w:pPr>
      <w:r>
        <w:t>9.8 Audit Evidence</w:t>
      </w:r>
    </w:p>
    <w:p>
      <w:r>
        <w:t>§9.5 emits audit records; this section covers turning them into evidence.</w:t>
      </w:r>
    </w:p>
    <w:p>
      <w:r>
        <w:t>Records are JSON Lines in the Appendix C.6 shape, one per decision, appended in</w:t>
      </w:r>
    </w:p>
    <w:p>
      <w:r>
        <w:t>decision order. An implementation MUST NOT rewrite or reorder emitted records.</w:t>
      </w:r>
    </w:p>
    <w:p>
      <w:pPr>
        <w:pStyle w:val="Heading3"/>
      </w:pPr>
      <w:r>
        <w:t>Where the record is written</w:t>
      </w:r>
    </w:p>
    <w:p>
      <w:r>
        <w:t xml:space="preserve">An implementation MUST record the </w:t>
      </w:r>
      <w:r>
        <w:rPr>
          <w:b/>
        </w:rPr>
        <w:t>decision</w:t>
      </w:r>
      <w:r>
        <w:t>, not merely the execution. A</w:t>
      </w:r>
    </w:p>
    <w:p>
      <w:r>
        <w:t>denied operation never runs, so a trail assembled from completed operations</w:t>
      </w:r>
    </w:p>
    <w:p>
      <w:r>
        <w:t>omits every denial — the exact evidence that demonstrates the boundary held.</w:t>
      </w:r>
    </w:p>
    <w:p>
      <w:r>
        <w:t>Where a runtime offers separate pre- and post-execution interception (§9.7),</w:t>
      </w:r>
    </w:p>
    <w:p>
      <w:r>
        <w:t>the decision is recorded before the call and the outcome after it, joined by a</w:t>
      </w:r>
    </w:p>
    <w:p>
      <w:r>
        <w:t>call identifier.</w:t>
      </w:r>
    </w:p>
    <w:p>
      <w:r>
        <w:t>The outcome record MUST carry forward the classification and autonomy level the</w:t>
      </w:r>
    </w:p>
    <w:p>
      <w:r>
        <w:rPr>
          <w:b/>
        </w:rPr>
        <w:t>decision</w:t>
      </w:r>
      <w:r>
        <w:t xml:space="preserve"> computed. It MUST NOT recompute them. Two failures follow from</w:t>
      </w:r>
    </w:p>
    <w:p>
      <w:r>
        <w:t>recomputing, both observed in the reference implementation before this rule was</w:t>
      </w:r>
    </w:p>
    <w:p>
      <w:r>
        <w:t>stated:</w:t>
      </w:r>
    </w:p>
    <w:p>
      <w:pPr>
        <w:pStyle w:val="ListBullet"/>
      </w:pPr>
      <w:r>
        <w:rPr>
          <w:b/>
        </w:rPr>
        <w:t>The classification is not a pure function of the call.</w:t>
      </w:r>
      <w:r>
        <w:t xml:space="preserve"> Whether writing to</w:t>
      </w:r>
    </w:p>
    <w:p>
      <w:r>
        <w:t>a path is an Add or a Change depends on whether the path exists — which the</w:t>
      </w:r>
    </w:p>
    <w:p>
      <w:r>
        <w:t>call itself has just changed. Re-deriving after execution filed every file</w:t>
      </w:r>
    </w:p>
    <w:p>
      <w:r>
        <w:t xml:space="preserve">creation as </w:t>
      </w:r>
      <w:r>
        <w:rPr>
          <w:rFonts w:ascii="Courier New" w:hAnsi="Courier New"/>
          <w:sz w:val="19"/>
        </w:rPr>
        <w:t>Add</w:t>
      </w:r>
      <w:r>
        <w:t xml:space="preserve"> in its decision and </w:t>
      </w:r>
      <w:r>
        <w:rPr>
          <w:rFonts w:ascii="Courier New" w:hAnsi="Courier New"/>
          <w:sz w:val="19"/>
        </w:rPr>
        <w:t>Change</w:t>
      </w:r>
      <w:r>
        <w:t xml:space="preserve"> in its outcome: two records</w:t>
      </w:r>
    </w:p>
    <w:p>
      <w:r>
        <w:t>that join on the same identifier and disagree about what the agent did.</w:t>
      </w:r>
    </w:p>
    <w:p>
      <w:pPr>
        <w:pStyle w:val="ListBullet"/>
      </w:pPr>
      <w:r>
        <w:rPr>
          <w:b/>
        </w:rPr>
        <w:t>The autonomy level is a property of the decision, not the execution.</w:t>
      </w:r>
      <w:r>
        <w:t xml:space="preserve"> An</w:t>
      </w:r>
    </w:p>
    <w:p>
      <w:r>
        <w:t xml:space="preserve">outcome record that asserts its own autonomy will claim </w:t>
      </w:r>
      <w:r>
        <w:rPr>
          <w:rFonts w:ascii="Courier New" w:hAnsi="Courier New"/>
          <w:sz w:val="19"/>
        </w:rPr>
        <w:t>autonomous</w:t>
      </w:r>
      <w:r>
        <w:t xml:space="preserve"> for a</w:t>
      </w:r>
    </w:p>
    <w:p>
      <w:r>
        <w:t>call a human explicitly approved. The decision row holds the truth, but an</w:t>
      </w:r>
    </w:p>
    <w:p>
      <w:r>
        <w:t>outcome row read on its own — which is how "what did this agent do without</w:t>
      </w:r>
    </w:p>
    <w:p>
      <w:r>
        <w:t>asking?" is answered — then states the opposite.</w:t>
      </w:r>
    </w:p>
    <w:p>
      <w:r>
        <w:t>Carrying the decision forward also keeps the post-execution path cheap: it needs</w:t>
      </w:r>
    </w:p>
    <w:p>
      <w:r>
        <w:t>no profile, no registry, and no re-evaluation.</w:t>
      </w:r>
    </w:p>
    <w:p>
      <w:r>
        <w:t xml:space="preserve">Records MAY carry an </w:t>
      </w:r>
      <w:r>
        <w:rPr>
          <w:rFonts w:ascii="Courier New" w:hAnsi="Courier New"/>
          <w:sz w:val="19"/>
        </w:rPr>
        <w:t>extra</w:t>
      </w:r>
      <w:r>
        <w:t xml:space="preserve"> block for context outside the C.6 shape — session</w:t>
      </w:r>
    </w:p>
    <w:p>
      <w:r>
        <w:t>and call identifiers, and the agent identity when the call originated in a</w:t>
      </w:r>
    </w:p>
    <w:p>
      <w:r>
        <w:t>subagent. Consumers MUST tolerate its absence.</w:t>
      </w:r>
    </w:p>
    <w:p>
      <w:r>
        <w:t xml:space="preserve">The reference SDK provides </w:t>
      </w:r>
      <w:r>
        <w:rPr>
          <w:rFonts w:ascii="Courier New" w:hAnsi="Courier New"/>
          <w:sz w:val="19"/>
        </w:rPr>
        <w:t>rmacd audit summarize</w:t>
      </w:r>
      <w:r>
        <w:t>, which produces an</w:t>
      </w:r>
    </w:p>
    <w:p>
      <w:r>
        <w:t>operation × classification matrix of decisions, denial counts by cause, and</w:t>
      </w:r>
    </w:p>
    <w:p>
      <w:r>
        <w:t>explicit identification of §12.5 floor denials — the evidence an auditor asks</w:t>
      </w:r>
    </w:p>
    <w:p>
      <w:r>
        <w:t>for when the question is "prove the boundary held". Records carry the profile</w:t>
      </w:r>
    </w:p>
    <w:p>
      <w:r>
        <w:t>id and, where applicable, the approval id and approver, so a decision can be</w:t>
      </w:r>
    </w:p>
    <w:p>
      <w:r>
        <w:t>traced to the policy that produced it and the human who authorized it.</w:t>
      </w:r>
    </w:p>
    <w:p>
      <w:r>
        <w:rPr>
          <w:rFonts w:ascii="Courier New" w:hAnsi="Courier New"/>
          <w:sz w:val="19"/>
        </w:rPr>
        <w:t>immutable_logging</w:t>
      </w:r>
      <w:r>
        <w:t xml:space="preserve"> in a profile's audit requirements signals a WORM</w:t>
      </w:r>
    </w:p>
    <w:p>
      <w:r>
        <w:t xml:space="preserve">destination. </w:t>
      </w:r>
      <w:r>
        <w:rPr>
          <w:b/>
        </w:rPr>
        <w:t>Conformance note (SDK ≤ 0.14.1):</w:t>
      </w:r>
      <w:r>
        <w:t xml:space="preserve"> the reference</w:t>
      </w:r>
    </w:p>
    <w:p>
      <w:r>
        <w:rPr>
          <w:rFonts w:ascii="Courier New" w:hAnsi="Courier New"/>
          <w:sz w:val="19"/>
        </w:rPr>
        <w:t>JSONLAuditLogger</w:t>
      </w:r>
      <w:r>
        <w:t xml:space="preserve"> writes plain lines with no hash chain, sequence number, or</w:t>
      </w:r>
    </w:p>
    <w:p>
      <w:r>
        <w:t xml:space="preserve">signature, and </w:t>
      </w:r>
      <w:r>
        <w:rPr>
          <w:rFonts w:ascii="Courier New" w:hAnsi="Courier New"/>
          <w:sz w:val="19"/>
        </w:rPr>
        <w:t>pii_masking</w:t>
      </w:r>
      <w:r>
        <w:t xml:space="preserve"> is not applied to audit fields. An implementation</w:t>
      </w:r>
    </w:p>
    <w:p>
      <w:r>
        <w:t>claiming tamper-evidence MUST supply it at the sink.</w:t>
      </w:r>
    </w:p>
    <w:p>
      <w:r>
        <w:rPr>
          <w:b/>
        </w:rPr>
        <w:t>Conformance note (session governance):</w:t>
      </w:r>
      <w:r>
        <w:t xml:space="preserve"> the reference implementation writes</w:t>
      </w:r>
    </w:p>
    <w:p>
      <w:r>
        <w:t>the session trail best-effort — an unwritable sink emits a diagnostic and the</w:t>
      </w:r>
    </w:p>
    <w:p>
      <w:r>
        <w:t>governance decision stands unchanged. This is deliberate: an audit failure must</w:t>
      </w:r>
    </w:p>
    <w:p>
      <w:r>
        <w:t>not take down a working session. It does mean the trail is not itself evidence</w:t>
      </w:r>
    </w:p>
    <w:p>
      <w:r>
        <w:t>of completeness, so a deployment that must prove no gaps MUST monitor the sink.</w:t>
      </w:r>
    </w:p>
    <w:p>
      <w:pPr>
        <w:pStyle w:val="Heading2"/>
      </w:pPr>
      <w:r>
        <w:t>9.9 MCP Policy Server</w:t>
      </w:r>
    </w:p>
    <w:p>
      <w:r>
        <w:t>RMACD policy is itself exposed over the Model Context Protocol, so a model can</w:t>
      </w:r>
    </w:p>
    <w:p>
      <w:r>
        <w:rPr>
          <w:i/>
        </w:rPr>
        <w:t>consult</w:t>
      </w:r>
      <w:r>
        <w:t xml:space="preserve"> governance without being able to alter it. The reference server</w:t>
      </w:r>
    </w:p>
    <w:p>
      <w:r>
        <w:t>(</w:t>
      </w:r>
      <w:r>
        <w:rPr>
          <w:rFonts w:ascii="Courier New" w:hAnsi="Courier New"/>
          <w:sz w:val="19"/>
        </w:rPr>
        <w:t>rmacd mcp-serve</w:t>
      </w:r>
      <w:r>
        <w:t xml:space="preserve">, </w:t>
      </w:r>
      <w:r>
        <w:rPr>
          <w:rFonts w:ascii="Courier New" w:hAnsi="Courier New"/>
          <w:sz w:val="19"/>
        </w:rPr>
        <w:t>[mcp]</w:t>
      </w:r>
      <w:r>
        <w:t xml:space="preserve"> extra) offers read-only tools: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Tool</w:t>
            </w:r>
          </w:p>
        </w:tc>
        <w:tc>
          <w:tcPr>
            <w:tcW w:type="dxa" w:w="4824"/>
          </w:tcPr>
          <w:p>
            <w:r>
              <w:rPr>
                <w:b/>
                <w:sz w:val="19"/>
              </w:rPr>
            </w:r>
            <w:r>
              <w:rPr>
                <w:b/>
                <w:sz w:val="19"/>
              </w:rPr>
              <w:t>Purpose</w:t>
            </w:r>
          </w:p>
        </w:tc>
      </w:tr>
      <w:tr>
        <w:tc>
          <w:tcPr>
            <w:tcW w:type="dxa" w:w="4824"/>
          </w:tcPr>
          <w:p>
            <w:r>
              <w:rPr>
                <w:sz w:val="19"/>
              </w:rPr>
            </w:r>
            <w:r>
              <w:rPr>
                <w:rFonts w:ascii="Courier New" w:hAnsi="Courier New"/>
                <w:sz w:val="19"/>
              </w:rPr>
              <w:t>rmacd_evaluate</w:t>
            </w:r>
          </w:p>
        </w:tc>
        <w:tc>
          <w:tcPr>
            <w:tcW w:type="dxa" w:w="4824"/>
          </w:tcPr>
          <w:p>
            <w:r>
              <w:rPr>
                <w:sz w:val="19"/>
              </w:rPr>
            </w:r>
            <w:r>
              <w:rPr>
                <w:sz w:val="19"/>
              </w:rPr>
              <w:t>Evaluate an operation/classification against a profile</w:t>
            </w:r>
          </w:p>
        </w:tc>
      </w:tr>
      <w:tr>
        <w:tc>
          <w:tcPr>
            <w:tcW w:type="dxa" w:w="4824"/>
          </w:tcPr>
          <w:p>
            <w:r>
              <w:rPr>
                <w:sz w:val="19"/>
              </w:rPr>
            </w:r>
            <w:r>
              <w:rPr>
                <w:rFonts w:ascii="Courier New" w:hAnsi="Courier New"/>
                <w:sz w:val="19"/>
              </w:rPr>
              <w:t>rmacd_matrix</w:t>
            </w:r>
          </w:p>
        </w:tc>
        <w:tc>
          <w:tcPr>
            <w:tcW w:type="dxa" w:w="4824"/>
          </w:tcPr>
          <w:p>
            <w:r>
              <w:rPr>
                <w:sz w:val="19"/>
              </w:rPr>
            </w:r>
            <w:r>
              <w:rPr>
                <w:sz w:val="19"/>
              </w:rPr>
              <w:t>Effective autonomy matrix for a profile</w:t>
            </w:r>
          </w:p>
        </w:tc>
      </w:tr>
      <w:tr>
        <w:tc>
          <w:tcPr>
            <w:tcW w:type="dxa" w:w="4824"/>
          </w:tcPr>
          <w:p>
            <w:r>
              <w:rPr>
                <w:sz w:val="19"/>
              </w:rPr>
            </w:r>
            <w:r>
              <w:rPr>
                <w:rFonts w:ascii="Courier New" w:hAnsi="Courier New"/>
                <w:sz w:val="19"/>
              </w:rPr>
              <w:t>rmacd_validate_profile</w:t>
            </w:r>
          </w:p>
        </w:tc>
        <w:tc>
          <w:tcPr>
            <w:tcW w:type="dxa" w:w="4824"/>
          </w:tcPr>
          <w:p>
            <w:r>
              <w:rPr>
                <w:sz w:val="19"/>
              </w:rPr>
            </w:r>
            <w:r>
              <w:rPr>
                <w:sz w:val="19"/>
              </w:rPr>
              <w:t>Validate a profile against its schema</w:t>
            </w:r>
          </w:p>
        </w:tc>
      </w:tr>
      <w:tr>
        <w:tc>
          <w:tcPr>
            <w:tcW w:type="dxa" w:w="4824"/>
          </w:tcPr>
          <w:p>
            <w:r>
              <w:rPr>
                <w:sz w:val="19"/>
              </w:rPr>
            </w:r>
            <w:r>
              <w:rPr>
                <w:rFonts w:ascii="Courier New" w:hAnsi="Courier New"/>
                <w:sz w:val="19"/>
              </w:rPr>
              <w:t>rmacd_list_packs</w:t>
            </w:r>
            <w:r>
              <w:rPr>
                <w:sz w:val="19"/>
              </w:rPr>
              <w:t xml:space="preserve"> / </w:t>
            </w:r>
            <w:r>
              <w:rPr>
                <w:rFonts w:ascii="Courier New" w:hAnsi="Courier New"/>
                <w:sz w:val="19"/>
              </w:rPr>
              <w:t>rmacd_pack_info</w:t>
            </w:r>
          </w:p>
        </w:tc>
        <w:tc>
          <w:tcPr>
            <w:tcW w:type="dxa" w:w="4824"/>
          </w:tcPr>
          <w:p>
            <w:r>
              <w:rPr>
                <w:sz w:val="19"/>
              </w:rPr>
            </w:r>
            <w:r>
              <w:rPr>
                <w:sz w:val="19"/>
              </w:rPr>
              <w:t>Inspect available governance packs</w:t>
            </w:r>
          </w:p>
        </w:tc>
      </w:tr>
      <w:tr>
        <w:tc>
          <w:tcPr>
            <w:tcW w:type="dxa" w:w="4824"/>
          </w:tcPr>
          <w:p>
            <w:r>
              <w:rPr>
                <w:sz w:val="19"/>
              </w:rPr>
            </w:r>
            <w:r>
              <w:rPr>
                <w:rFonts w:ascii="Courier New" w:hAnsi="Courier New"/>
                <w:sz w:val="19"/>
              </w:rPr>
              <w:t>rmacd_classify_bash</w:t>
            </w:r>
          </w:p>
        </w:tc>
        <w:tc>
          <w:tcPr>
            <w:tcW w:type="dxa" w:w="4824"/>
          </w:tcPr>
          <w:p>
            <w:r>
              <w:rPr>
                <w:sz w:val="19"/>
              </w:rPr>
            </w:r>
            <w:r>
              <w:rPr>
                <w:sz w:val="19"/>
              </w:rPr>
              <w:t>Classify a shell command in RMACD terms</w:t>
            </w:r>
          </w:p>
        </w:tc>
      </w:tr>
    </w:tbl>
    <w:p/>
    <w:p>
      <w:r>
        <w:t xml:space="preserve">Every tool is </w:t>
      </w:r>
      <w:r>
        <w:rPr>
          <w:b/>
        </w:rPr>
        <w:t>advisory and side-effect-free</w:t>
      </w:r>
      <w:r>
        <w:t>. Nothing here is an enforcement</w:t>
      </w:r>
    </w:p>
    <w:p>
      <w:r>
        <w:t>path: a model consulting the server cannot grant itself permission, and an</w:t>
      </w:r>
    </w:p>
    <w:p>
      <w:r>
        <w:t>answer from it is not a decision. Enforcement remains §9.5 at the call site.</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Change/Delete operations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pPr>
        <w:spacing w:after="160"/>
        <w:ind w:left="360"/>
      </w:pPr>
      <w:r>
        <w:rPr>
          <w:rFonts w:ascii="Courier New" w:hAnsi="Courier New"/>
          <w:sz w:val="17"/>
        </w:rPr>
        <w:t>{</w:t>
        <w:br/>
      </w:r>
      <w:r>
        <w:rPr>
          <w:rFonts w:ascii="Courier New" w:hAnsi="Courier New"/>
          <w:sz w:val="17"/>
        </w:rPr>
        <w:t xml:space="preserve">  "$schema": "https://rmacd-framework.org/schema/v1/exception.json",</w:t>
        <w:br/>
      </w:r>
      <w:r>
        <w:rPr>
          <w:rFonts w:ascii="Courier New" w:hAnsi="Courier New"/>
          <w:sz w:val="17"/>
        </w:rPr>
        <w:t xml:space="preserve">  "exception_id": "exc-20260115-001",</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"requested_by": "devops-agent-007",</w:t>
        <w:br/>
      </w:r>
      <w:r>
        <w:rPr>
          <w:rFonts w:ascii="Courier New" w:hAnsi="Courier New"/>
          <w:sz w:val="17"/>
        </w:rPr>
        <w:t xml:space="preserve">  "approved_by": "j.smith@company.com",</w:t>
        <w:br/>
      </w:r>
      <w:r>
        <w:rPr>
          <w:rFonts w:ascii="Courier New" w:hAnsi="Courier New"/>
          <w:sz w:val="17"/>
        </w:rPr>
        <w:t xml:space="preserve">  "approved_at": "2026-01-15T10:30:00Z",</w:t>
        <w:br/>
      </w:r>
      <w:r>
        <w:rPr>
          <w:rFonts w:ascii="Courier New" w:hAnsi="Courier New"/>
          <w:sz w:val="17"/>
        </w:rPr>
        <w:t xml:space="preserve">  "effective_from": "2026-01-15T11:00:00Z",</w:t>
        <w:br/>
      </w:r>
      <w:r>
        <w:rPr>
          <w:rFonts w:ascii="Courier New" w:hAnsi="Courier New"/>
          <w:sz w:val="17"/>
        </w:rPr>
        <w:t xml:space="preserve">  "expires_at": "2026-01-16T11:00:00Z",</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"justification": "Emergency database migration required due to storage failure",</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"active"</w:t>
        <w:br/>
      </w:r>
      <w:r>
        <w:rPr>
          <w:rFonts w:ascii="Courier New" w:hAnsi="Courier New"/>
          <w:sz w:val="17"/>
        </w:rPr>
        <w:t>}</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Add, 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w:t>
      </w:r>
    </w:p>
    <w:p>
      <w:r>
        <w:t xml:space="preserve">systems. This is the </w:t>
      </w:r>
      <w:r>
        <w:rPr>
          <w:rFonts w:ascii="Courier New" w:hAnsi="Courier New"/>
          <w:sz w:val="19"/>
        </w:rPr>
        <w:t>ApprovalRequest</w:t>
      </w:r>
      <w:r>
        <w:t xml:space="preserve"> an </w:t>
      </w:r>
      <w:r>
        <w:rPr>
          <w:rFonts w:ascii="Courier New" w:hAnsi="Courier New"/>
          <w:sz w:val="19"/>
        </w:rPr>
        <w:t>ApprovalGateway</w:t>
      </w:r>
      <w:r>
        <w:t xml:space="preserve"> receives, verbatim</w:t>
      </w:r>
    </w:p>
    <w:p>
      <w:r>
        <w:t>as the SDK constructs it:</w:t>
      </w:r>
    </w:p>
    <w:p>
      <w:pPr>
        <w:spacing w:after="160"/>
        <w:ind w:left="360"/>
      </w:pPr>
      <w:r>
        <w:rPr>
          <w:rFonts w:ascii="Courier New" w:hAnsi="Courier New"/>
          <w:sz w:val="17"/>
        </w:rPr>
        <w:t>{</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"autonomy_level": "approval",</w:t>
        <w:br/>
      </w:r>
      <w:r>
        <w:rPr>
          <w:rFonts w:ascii="Courier New" w:hAnsi="Courier New"/>
          <w:sz w:val="17"/>
        </w:rPr>
        <w:t xml:space="preserve">  "justification": "Performance optimization for increased traffic",</w:t>
        <w:br/>
      </w:r>
      <w:r>
        <w:rPr>
          <w:rFonts w:ascii="Courier New" w:hAnsi="Courier New"/>
          <w:sz w:val="17"/>
        </w:rPr>
        <w:t xml:space="preserve">  "timeout_seconds": 300,</w:t>
        <w:br/>
      </w:r>
      <w:r>
        <w:rPr>
          <w:rFonts w:ascii="Courier New" w:hAnsi="Courier New"/>
          <w:sz w:val="17"/>
        </w:rPr>
        <w:t xml:space="preserve">  "metadata": null,</w:t>
        <w:br/>
      </w:r>
      <w:r>
        <w:rPr>
          <w:rFonts w:ascii="Courier New" w:hAnsi="Courier New"/>
          <w:sz w:val="17"/>
        </w:rPr>
        <w:t xml:space="preserve">  "created_at": "2026-01-10T14:30:00Z"</w:t>
        <w:br/>
      </w:r>
      <w:r>
        <w:rPr>
          <w:rFonts w:ascii="Courier New" w:hAnsi="Courier New"/>
          <w:sz w:val="17"/>
        </w:rPr>
        <w:t>}</w:t>
      </w:r>
    </w:p>
    <w:p>
      <w:r>
        <w:t xml:space="preserve">Note the shape: </w:t>
      </w:r>
      <w:r>
        <w:rPr>
          <w:rFonts w:ascii="Courier New" w:hAnsi="Courier New"/>
          <w:sz w:val="19"/>
        </w:rPr>
        <w:t>operation</w:t>
      </w:r>
      <w:r>
        <w:t xml:space="preserve"> is the single-letter RMACD code at the top level</w:t>
      </w:r>
    </w:p>
    <w:p>
      <w:r>
        <w:t xml:space="preserve">(not a nested object), the required autonomy is </w:t>
      </w:r>
      <w:r>
        <w:rPr>
          <w:rFonts w:ascii="Courier New" w:hAnsi="Courier New"/>
          <w:sz w:val="19"/>
        </w:rPr>
        <w:t>autonomy_level</w:t>
      </w:r>
      <w:r>
        <w:t>, and the</w:t>
      </w:r>
    </w:p>
    <w:p>
      <w:r>
        <w:t xml:space="preserve">timeout is </w:t>
      </w:r>
      <w:r>
        <w:rPr>
          <w:rFonts w:ascii="Courier New" w:hAnsi="Courier New"/>
          <w:sz w:val="19"/>
        </w:rPr>
        <w:t>timeout_seconds</w:t>
      </w:r>
      <w:r>
        <w:t xml:space="preserve">. Free-form context belongs in </w:t>
      </w:r>
      <w:r>
        <w:rPr>
          <w:rFonts w:ascii="Courier New" w:hAnsi="Courier New"/>
          <w:sz w:val="19"/>
        </w:rPr>
        <w:t>metadata</w:t>
      </w:r>
      <w:r>
        <w:t>.</w:t>
      </w:r>
    </w:p>
    <w:p>
      <w:r>
        <w:rPr>
          <w:b/>
        </w:rPr>
        <w:t>Approver routing is the gateway's responsibility, not the request's.</w:t>
      </w:r>
      <w:r>
        <w:t xml:space="preserve"> The</w:t>
      </w:r>
    </w:p>
    <w:p>
      <w:r>
        <w:t xml:space="preserve">request carries no </w:t>
      </w:r>
      <w:r>
        <w:rPr>
          <w:rFonts w:ascii="Courier New" w:hAnsi="Courier New"/>
          <w:sz w:val="19"/>
        </w:rPr>
        <w:t>approvers</w:t>
      </w:r>
      <w:r>
        <w:t xml:space="preserve"> list: the profile's </w:t>
      </w:r>
      <w:r>
        <w:rPr>
          <w:rFonts w:ascii="Courier New" w:hAnsi="Courier New"/>
          <w:sz w:val="19"/>
        </w:rPr>
        <w:t>approval_authority</w:t>
      </w:r>
      <w:r>
        <w:t xml:space="preserve"> block</w:t>
      </w:r>
    </w:p>
    <w:p>
      <w:r>
        <w:t>declares who may approve and how many are required, and the integrator's</w:t>
      </w:r>
    </w:p>
    <w:p>
      <w:r>
        <w:rPr>
          <w:rFonts w:ascii="Courier New" w:hAnsi="Courier New"/>
          <w:sz w:val="19"/>
        </w:rPr>
        <w:t>ApprovalGateway</w:t>
      </w:r>
      <w:r>
        <w:t xml:space="preserve"> implementation reads it. Requests can be routed to</w:t>
      </w:r>
    </w:p>
    <w:p>
      <w:r>
        <w:t>ServiceNow, Jira, Slack, Microsoft Teams, or custom workflow systems via</w:t>
      </w:r>
    </w:p>
    <w:p>
      <w:r>
        <w:t>webhooks and API integrations.</w:t>
      </w:r>
    </w:p>
    <w:p>
      <w:r>
        <w:t xml:space="preserve">&gt; </w:t>
      </w:r>
      <w:r>
        <w:rPr>
          <w:b/>
        </w:rPr>
        <w:t>Conformance note (SDK ≤ 0.14.0).</w:t>
      </w:r>
      <w:r>
        <w:t xml:space="preserve"> </w:t>
      </w:r>
      <w:r>
        <w:rPr>
          <w:rFonts w:ascii="Courier New" w:hAnsi="Courier New"/>
          <w:sz w:val="19"/>
        </w:rPr>
        <w:t>approval_authority</w:t>
      </w:r>
      <w:r>
        <w:t xml:space="preserve"> — </w:t>
      </w:r>
      <w:r>
        <w:rPr>
          <w:rFonts w:ascii="Courier New" w:hAnsi="Courier New"/>
          <w:sz w:val="19"/>
        </w:rPr>
        <w:t>approvers</w:t>
      </w:r>
      <w:r>
        <w:t>,</w:t>
      </w:r>
    </w:p>
    <w:p>
      <w:r>
        <w:t xml:space="preserve">&gt; </w:t>
      </w:r>
      <w:r>
        <w:rPr>
          <w:rFonts w:ascii="Courier New" w:hAnsi="Courier New"/>
          <w:sz w:val="19"/>
        </w:rPr>
        <w:t>timeout_minutes</w:t>
      </w:r>
      <w:r>
        <w:t xml:space="preserve">, </w:t>
      </w:r>
      <w:r>
        <w:rPr>
          <w:rFonts w:ascii="Courier New" w:hAnsi="Courier New"/>
          <w:sz w:val="19"/>
        </w:rPr>
        <w:t>require_multiple_approvers</w:t>
      </w:r>
      <w:r>
        <w:t xml:space="preserve">, </w:t>
      </w:r>
      <w:r>
        <w:rPr>
          <w:rFonts w:ascii="Courier New" w:hAnsi="Courier New"/>
          <w:sz w:val="19"/>
        </w:rPr>
        <w:t>minimum_approvers</w:t>
      </w:r>
      <w:r>
        <w:t xml:space="preserve"> — is</w:t>
      </w:r>
    </w:p>
    <w:p>
      <w:r>
        <w:t xml:space="preserve">&gt; schema-validated but </w:t>
      </w:r>
      <w:r>
        <w:rPr>
          <w:b/>
        </w:rPr>
        <w:t>not yet enforced by the reference SDK</w:t>
      </w:r>
      <w:r>
        <w:t>: it does not</w:t>
      </w:r>
    </w:p>
    <w:p>
      <w:r>
        <w:t xml:space="preserve">&gt; reach the gateway, and </w:t>
      </w:r>
      <w:r>
        <w:rPr>
          <w:rFonts w:ascii="Courier New" w:hAnsi="Courier New"/>
          <w:sz w:val="19"/>
        </w:rPr>
        <w:t>timeout_seconds</w:t>
      </w:r>
      <w:r>
        <w:t xml:space="preserve"> is currently fixed at 300. An</w:t>
      </w:r>
    </w:p>
    <w:p>
      <w:r>
        <w:t>&gt; implementation claiming conformance must enforce it or document the gap.</w:t>
      </w:r>
    </w:p>
    <w:p>
      <w:pPr>
        <w:pStyle w:val="Heading2"/>
      </w:pPr>
      <w:r>
        <w:t>C.6 Audit Log Format</w:t>
      </w:r>
    </w:p>
    <w:p>
      <w:r>
        <w:t>All policy decisions and agent operations generate structured audit logs for</w:t>
      </w:r>
    </w:p>
    <w:p>
      <w:r>
        <w:t>compliance. Each record is one line of JSONL, emitted exactly as shown — the</w:t>
      </w:r>
    </w:p>
    <w:p>
      <w:r>
        <w:t xml:space="preserve">object is </w:t>
      </w:r>
      <w:r>
        <w:rPr>
          <w:b/>
        </w:rPr>
        <w:t>top-level</w:t>
      </w:r>
      <w:r>
        <w:t xml:space="preserve">, with no </w:t>
      </w:r>
      <w:r>
        <w:rPr>
          <w:rFonts w:ascii="Courier New" w:hAnsi="Courier New"/>
          <w:sz w:val="19"/>
        </w:rPr>
        <w:t>audit_record</w:t>
      </w:r>
      <w:r>
        <w:t xml:space="preserve"> envelope:</w:t>
      </w:r>
    </w:p>
    <w:p>
      <w:pPr>
        <w:spacing w:after="160"/>
        <w:ind w:left="360"/>
      </w:pPr>
      <w:r>
        <w:rPr>
          <w:rFonts w:ascii="Courier New" w:hAnsi="Courier New"/>
          <w:sz w:val="17"/>
        </w:rPr>
        <w:t>{</w:t>
        <w:br/>
      </w:r>
      <w:r>
        <w:rPr>
          <w:rFonts w:ascii="Courier New" w:hAnsi="Courier New"/>
          <w:sz w:val="17"/>
        </w:rPr>
        <w:t xml:space="preserve">  "record_id": "aud-a21511787fe6416a",</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"blocked_reason": null,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"constraints_applied": [],</w:t>
        <w:br/>
      </w:r>
      <w:r>
        <w:rPr>
          <w:rFonts w:ascii="Courier New" w:hAnsi="Courier New"/>
          <w:sz w:val="17"/>
        </w:rPr>
        <w:t xml:space="preserve">    "emergency_mode": false</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"error": null</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w:t>
      </w:r>
    </w:p>
    <w:p>
      <w:r>
        <w:t>Points where a reader is most likely to get this wrong:</w:t>
      </w:r>
    </w:p>
    <w:p>
      <w:pPr>
        <w:pStyle w:val="ListBullet"/>
      </w:pPr>
      <w:r>
        <w:rPr>
          <w:rFonts w:ascii="Courier New" w:hAnsi="Courier New"/>
          <w:sz w:val="19"/>
        </w:rPr>
        <w:t>operation.type</w:t>
      </w:r>
      <w:r>
        <w:t xml:space="preserve"> is the </w:t>
      </w:r>
      <w:r>
        <w:rPr>
          <w:b/>
        </w:rPr>
        <w:t>single-letter RMACD code</w:t>
      </w:r>
      <w:r>
        <w:t xml:space="preserve"> (</w:t>
      </w:r>
      <w:r>
        <w:rPr>
          <w:rFonts w:ascii="Courier New" w:hAnsi="Courier New"/>
          <w:sz w:val="19"/>
        </w:rPr>
        <w:t>"C"</w:t>
      </w:r>
      <w:r>
        <w:t>), not a word</w:t>
      </w:r>
    </w:p>
    <w:p>
      <w:r>
        <w:t>(</w:t>
      </w:r>
      <w:r>
        <w:rPr>
          <w:rFonts w:ascii="Courier New" w:hAnsi="Courier New"/>
          <w:sz w:val="19"/>
        </w:rPr>
        <w:t>"CHANGE"</w:t>
      </w:r>
      <w:r>
        <w:t xml:space="preserve">). It is the value of the </w:t>
      </w:r>
      <w:r>
        <w:rPr>
          <w:rFonts w:ascii="Courier New" w:hAnsi="Courier New"/>
          <w:sz w:val="19"/>
        </w:rPr>
        <w:t>Operation</w:t>
      </w:r>
      <w:r>
        <w:t xml:space="preserve"> enum.</w:t>
      </w:r>
    </w:p>
    <w:p>
      <w:pPr>
        <w:pStyle w:val="ListBullet"/>
      </w:pPr>
      <w:r>
        <w:rPr>
          <w:rFonts w:ascii="Courier New" w:hAnsi="Courier New"/>
          <w:sz w:val="19"/>
        </w:rPr>
        <w:t>policy_decision.result</w:t>
      </w:r>
      <w:r>
        <w:t xml:space="preserve"> is one of </w:t>
      </w:r>
      <w:r>
        <w:rPr>
          <w:rFonts w:ascii="Courier New" w:hAnsi="Courier New"/>
          <w:sz w:val="19"/>
        </w:rPr>
        <w:t>ALLOW</w:t>
      </w:r>
      <w:r>
        <w:t xml:space="preserve">, </w:t>
      </w:r>
      <w:r>
        <w:rPr>
          <w:rFonts w:ascii="Courier New" w:hAnsi="Courier New"/>
          <w:sz w:val="19"/>
        </w:rPr>
        <w:t>DENY</w:t>
      </w:r>
      <w:r>
        <w:t xml:space="preserve">, </w:t>
      </w:r>
      <w:r>
        <w:rPr>
          <w:rFonts w:ascii="Courier New" w:hAnsi="Courier New"/>
          <w:sz w:val="19"/>
        </w:rPr>
        <w:t>QUEUED</w:t>
      </w:r>
      <w:r>
        <w:t xml:space="preserve">, </w:t>
      </w:r>
      <w:r>
        <w:rPr>
          <w:rFonts w:ascii="Courier New" w:hAnsi="Courier New"/>
          <w:sz w:val="19"/>
        </w:rPr>
        <w:t>APPROVED</w:t>
      </w:r>
      <w:r>
        <w:t>,</w:t>
      </w:r>
    </w:p>
    <w:p>
      <w:r>
        <w:rPr>
          <w:rFonts w:ascii="Courier New" w:hAnsi="Courier New"/>
          <w:sz w:val="19"/>
        </w:rPr>
        <w:t>REJECTED</w:t>
      </w:r>
      <w:r>
        <w:t xml:space="preserve">, </w:t>
      </w:r>
      <w:r>
        <w:rPr>
          <w:rFonts w:ascii="Courier New" w:hAnsi="Courier New"/>
          <w:sz w:val="19"/>
        </w:rPr>
        <w:t>EXECUTED</w:t>
      </w:r>
      <w:r>
        <w:t xml:space="preserve">. </w:t>
      </w:r>
      <w:r>
        <w:rPr>
          <w:rFonts w:ascii="Courier New" w:hAnsi="Courier New"/>
          <w:sz w:val="19"/>
        </w:rPr>
        <w:t>EXECUTED</w:t>
      </w:r>
      <w:r>
        <w:t xml:space="preserve"> records are emitted by </w:t>
      </w:r>
      <w:r>
        <w:rPr>
          <w:rFonts w:ascii="Courier New" w:hAnsi="Courier New"/>
          <w:sz w:val="19"/>
        </w:rPr>
        <w:t>@guard</w:t>
      </w:r>
      <w:r>
        <w:t xml:space="preserve"> after a</w:t>
      </w:r>
    </w:p>
    <w:p>
      <w:r>
        <w:t xml:space="preserve">tool runs and are the only ones carrying an </w:t>
      </w:r>
      <w:r>
        <w:rPr>
          <w:rFonts w:ascii="Courier New" w:hAnsi="Courier New"/>
          <w:sz w:val="19"/>
        </w:rPr>
        <w:t>execution</w:t>
      </w:r>
      <w:r>
        <w:t xml:space="preserve"> block; on every other</w:t>
      </w:r>
    </w:p>
    <w:p>
      <w:r>
        <w:t xml:space="preserve">record </w:t>
      </w:r>
      <w:r>
        <w:rPr>
          <w:rFonts w:ascii="Courier New" w:hAnsi="Courier New"/>
          <w:sz w:val="19"/>
        </w:rPr>
        <w:t>execution</w:t>
      </w:r>
      <w:r>
        <w:t xml:space="preserve"> is </w:t>
      </w:r>
      <w:r>
        <w:rPr>
          <w:rFonts w:ascii="Courier New" w:hAnsi="Courier New"/>
          <w:sz w:val="19"/>
        </w:rPr>
        <w:t>null</w:t>
      </w:r>
      <w:r>
        <w:t>. *(Known gap in SDK ≤ 0.14.0:</w:t>
      </w:r>
    </w:p>
    <w:p>
      <w:r>
        <w:rPr>
          <w:rFonts w:ascii="Courier New" w:hAnsi="Courier New"/>
          <w:sz w:val="19"/>
        </w:rPr>
        <w:t>rmacd.audit_report</w:t>
      </w:r>
      <w:r>
        <w:t xml:space="preserve"> omits </w:t>
      </w:r>
      <w:r>
        <w:rPr>
          <w:rFonts w:ascii="Courier New" w:hAnsi="Courier New"/>
          <w:sz w:val="19"/>
        </w:rPr>
        <w:t>EXECUTED</w:t>
      </w:r>
      <w:r>
        <w:t xml:space="preserve"> from its result table, so </w:t>
      </w:r>
      <w:r>
        <w:rPr>
          <w:rFonts w:ascii="Courier New" w:hAnsi="Courier New"/>
          <w:sz w:val="19"/>
        </w:rPr>
        <w:t>@guard</w:t>
      </w:r>
    </w:p>
    <w:p>
      <w:r>
        <w:t>execution records fall into that report's "other" bucket.)*</w:t>
      </w:r>
    </w:p>
    <w:p>
      <w:pPr>
        <w:pStyle w:val="ListBullet"/>
      </w:pPr>
      <w:r>
        <w:rPr>
          <w:rFonts w:ascii="Courier New" w:hAnsi="Courier New"/>
          <w:sz w:val="19"/>
        </w:rPr>
        <w:t>blocked_reason</w:t>
      </w:r>
      <w:r>
        <w:t xml:space="preserve">, </w:t>
      </w:r>
      <w:r>
        <w:rPr>
          <w:rFonts w:ascii="Courier New" w:hAnsi="Courier New"/>
          <w:sz w:val="19"/>
        </w:rPr>
        <w:t>constraints_applied</w:t>
      </w:r>
      <w:r>
        <w:t xml:space="preserve"> and </w:t>
      </w:r>
      <w:r>
        <w:rPr>
          <w:rFonts w:ascii="Courier New" w:hAnsi="Courier New"/>
          <w:sz w:val="19"/>
        </w:rPr>
        <w:t>emergency_mode</w:t>
      </w:r>
      <w:r>
        <w:t xml:space="preserve"> are always</w:t>
      </w:r>
    </w:p>
    <w:p>
      <w:r>
        <w:t xml:space="preserve">present. </w:t>
      </w:r>
      <w:r>
        <w:rPr>
          <w:rFonts w:ascii="Courier New" w:hAnsi="Courier New"/>
          <w:sz w:val="19"/>
        </w:rPr>
        <w:t>constraints_applied</w:t>
      </w:r>
      <w:r>
        <w:t xml:space="preserve"> names the constraint families that</w:t>
      </w:r>
    </w:p>
    <w:p>
      <w:r>
        <w:t xml:space="preserve">participated in the decision — </w:t>
      </w:r>
      <w:r>
        <w:rPr>
          <w:rFonts w:ascii="Courier New" w:hAnsi="Courier New"/>
          <w:sz w:val="19"/>
        </w:rPr>
        <w:t>immutable_prohibition</w:t>
      </w:r>
      <w:r>
        <w:t xml:space="preserve"> identifies a §12.5</w:t>
      </w:r>
    </w:p>
    <w:p>
      <w:r>
        <w:t>floor denial.</w:t>
      </w:r>
    </w:p>
    <w:p>
      <w:pPr>
        <w:pStyle w:val="ListBullet"/>
      </w:pPr>
      <w:r>
        <w:t xml:space="preserve">Timestamps are RFC 3339 with a </w:t>
      </w:r>
      <w:r>
        <w:rPr>
          <w:rFonts w:ascii="Courier New" w:hAnsi="Courier New"/>
          <w:sz w:val="19"/>
        </w:rPr>
        <w:t>Z</w:t>
      </w:r>
      <w:r>
        <w:t xml:space="preserve"> suffix and are </w:t>
      </w:r>
      <w:r>
        <w:rPr>
          <w:b/>
        </w:rPr>
        <w:t>timezone-aware UTC</w:t>
      </w:r>
      <w:r>
        <w:t>.</w:t>
      </w:r>
    </w:p>
    <w:p>
      <w:pPr>
        <w:pStyle w:val="ListBullet"/>
      </w:pPr>
      <w:r>
        <w:t xml:space="preserve">There is no </w:t>
      </w:r>
      <w:r>
        <w:rPr>
          <w:rFonts w:ascii="Courier New" w:hAnsi="Courier New"/>
          <w:sz w:val="19"/>
        </w:rPr>
        <w:t>rollback_available</w:t>
      </w:r>
      <w:r>
        <w:t xml:space="preserve"> field.</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The companion documents in </w:t>
      </w:r>
      <w:r>
        <w:rPr>
          <w:rFonts w:ascii="Courier New" w:hAnsi="Courier New"/>
          <w:sz w:val="19"/>
        </w:rPr>
        <w:t>docs/</w:t>
      </w:r>
      <w:r>
        <w:t xml:space="preserve"> describe </w:t>
      </w:r>
      <w:r>
        <w:rPr>
          <w:i/>
        </w:rPr>
        <w:t>how</w:t>
      </w:r>
      <w:r>
        <w:t xml:space="preserve"> an</w:t>
      </w:r>
    </w:p>
    <w:p>
      <w:r>
        <w:t>integrator wires it together at the call site:</w:t>
      </w:r>
    </w:p>
    <w:p>
      <w:pPr>
        <w:pStyle w:val="ListBullet"/>
      </w:pPr>
      <w:r>
        <w:rPr>
          <w:b/>
        </w:rPr>
        <w:t>`docs/implementation.md`</w:t>
      </w:r>
      <w:r>
        <w:t xml:space="preserve"> — step-by-step adoption: choosing a deployment</w:t>
      </w:r>
    </w:p>
    <w:p>
      <w:r>
        <w:t>shape, defining profiles, classifying resources, and rolling out enforcement.</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the OpenAI Agents SDK, Microsoft Agent Framework, LangChain, AutoGen and</w:t>
      </w:r>
    </w:p>
    <w:p>
      <w:r>
        <w:t>CrewAI, plus a generic dispatch-site pattern for any other framework.</w:t>
      </w:r>
    </w:p>
    <w:p>
      <w:pPr>
        <w:pStyle w:val="ListBullet"/>
      </w:pPr>
      <w:r>
        <w:rPr>
          <w:b/>
        </w:rPr>
        <w:t>`docs/governance-packs/`</w:t>
      </w:r>
      <w:r>
        <w:t xml:space="preserve"> (§9.6) — pack format, design rationale, the</w:t>
      </w:r>
    </w:p>
    <w:p>
      <w:r>
        <w:t>AI-compile authoring workflow, signing and drift detection, and the</w:t>
      </w:r>
    </w:p>
    <w:p>
      <w:r>
        <w:t xml:space="preserve">generated </w:t>
      </w:r>
      <w:r>
        <w:rPr>
          <w:rFonts w:ascii="Courier New" w:hAnsi="Courier New"/>
          <w:sz w:val="19"/>
        </w:rPr>
        <w:t>catalog.md</w:t>
      </w:r>
      <w:r>
        <w:t xml:space="preserve"> of built-in packs.</w:t>
      </w:r>
    </w:p>
    <w:p>
      <w:pPr>
        <w:pStyle w:val="ListBullet"/>
      </w:pPr>
      <w:r>
        <w:rPr>
          <w:b/>
        </w:rPr>
        <w:t>`docs/claude-code.md`</w:t>
      </w:r>
      <w:r>
        <w:t xml:space="preserve"> (§9.7) — session governance: binding, the</w:t>
      </w:r>
    </w:p>
    <w:p>
      <w:r>
        <w:t>normative fail-mode table, tool mapping, and the plugin.</w:t>
      </w:r>
    </w:p>
    <w:p>
      <w:pPr>
        <w:pStyle w:val="ListBullet"/>
      </w:pPr>
      <w:r>
        <w:rPr>
          <w:b/>
        </w:rPr>
        <w:t>`docs/audit-evidence.md`</w:t>
      </w:r>
      <w:r>
        <w:t xml:space="preserve"> (§9.8) — the audit record field reference and</w:t>
      </w:r>
    </w:p>
    <w:p>
      <w:r>
        <w:rPr>
          <w:rFonts w:ascii="Courier New" w:hAnsi="Courier New"/>
          <w:sz w:val="19"/>
        </w:rPr>
        <w:t>rmacd audit summarize</w:t>
      </w:r>
      <w:r>
        <w:t>.</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