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1.4.1 | August 2026</w:t>
      </w:r>
    </w:p>
    <w:p>
      <w:r>
        <w:rPr>
          <w:b/>
        </w:rPr>
        <w:t>Author: Kash Kashyap</w:t>
      </w:r>
      <w:r>
        <w:t xml:space="preserve"> (</w:t>
      </w:r>
      <w:r>
        <w:t>ORCID: 0009-0005-0127-6265</w:t>
      </w:r>
      <w:r>
        <w:t>)</w:t>
      </w:r>
    </w:p>
    <w:p>
      <w:pPr>
        <w:pStyle w:val="Heading2"/>
      </w:pPr>
      <w:r>
        <w:t>Revision history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Spec</w:t>
            </w:r>
          </w:p>
        </w:tc>
        <w:tc>
          <w:tcPr>
            <w:tcW w:type="dxa" w:w="4824"/>
          </w:tcPr>
          <w:p>
            <w:r>
              <w:rPr>
                <w:b/>
                <w:sz w:val="19"/>
              </w:rPr>
            </w:r>
            <w:r>
              <w:rPr>
                <w:b/>
                <w:sz w:val="19"/>
              </w:rPr>
              <w:t>Change</w:t>
            </w:r>
          </w:p>
        </w:tc>
      </w:tr>
      <w:tr>
        <w:tc>
          <w:tcPr>
            <w:tcW w:type="dxa" w:w="4824"/>
          </w:tcPr>
          <w:p>
            <w:r>
              <w:rPr>
                <w:sz w:val="19"/>
              </w:rPr>
            </w:r>
            <w:r>
              <w:rPr>
                <w:sz w:val="19"/>
              </w:rPr>
              <w:t>1.2</w:t>
            </w:r>
          </w:p>
        </w:tc>
        <w:tc>
          <w:tcPr>
            <w:tcW w:type="dxa" w:w="4824"/>
          </w:tcPr>
          <w:p>
            <w:r>
              <w:rPr>
                <w:sz w:val="19"/>
              </w:rPr>
            </w:r>
            <w:r>
              <w:rPr>
                <w:sz w:val="19"/>
              </w:rPr>
              <w:t>Added the Python Tools Registry reference implementation for automated tool governance.</w:t>
            </w:r>
          </w:p>
        </w:tc>
      </w:tr>
      <w:tr>
        <w:tc>
          <w:tcPr>
            <w:tcW w:type="dxa" w:w="4824"/>
          </w:tcPr>
          <w:p>
            <w:r>
              <w:rPr>
                <w:sz w:val="19"/>
              </w:rPr>
            </w:r>
            <w:r>
              <w:rPr>
                <w:sz w:val="19"/>
              </w:rPr>
              <w:t>1.2.1</w:t>
            </w:r>
          </w:p>
        </w:tc>
        <w:tc>
          <w:tcPr>
            <w:tcW w:type="dxa" w:w="4824"/>
          </w:tcPr>
          <w:p>
            <w:r>
              <w:rPr>
                <w:sz w:val="19"/>
              </w:rPr>
            </w:r>
            <w:r>
              <w:rPr>
                <w:sz w:val="19"/>
              </w:rPr>
              <w:t>Corrected the governance-matrix defaults in the SDK; fixed the Appendix B profile schemas.</w:t>
            </w:r>
          </w:p>
        </w:tc>
      </w:tr>
      <w:tr>
        <w:tc>
          <w:tcPr>
            <w:tcW w:type="dxa" w:w="4824"/>
          </w:tcPr>
          <w:p>
            <w:r>
              <w:rPr>
                <w:sz w:val="19"/>
              </w:rPr>
            </w:r>
            <w:r>
              <w:rPr>
                <w:sz w:val="19"/>
              </w:rPr>
              <w:t>1.3.0</w:t>
            </w:r>
          </w:p>
        </w:tc>
        <w:tc>
          <w:tcPr>
            <w:tcW w:type="dxa" w:w="4824"/>
          </w:tcPr>
          <w:p>
            <w:r>
              <w:rPr>
                <w:sz w:val="19"/>
              </w:rPr>
            </w:r>
            <w:r>
              <w:rPr>
                <w:sz w:val="19"/>
              </w:rPr>
              <w:t xml:space="preserve">Added </w:t>
            </w:r>
            <w:r>
              <w:rPr>
                <w:b/>
                <w:sz w:val="19"/>
              </w:rPr>
              <w:t>Appendix D</w:t>
            </w:r>
            <w:r>
              <w:rPr>
                <w:sz w:val="19"/>
              </w:rPr>
              <w:t>, the Data-Classification 2D variant (DC2D), with schema, example profile and SDK support.</w:t>
            </w:r>
          </w:p>
        </w:tc>
      </w:tr>
      <w:tr>
        <w:tc>
          <w:tcPr>
            <w:tcW w:type="dxa" w:w="4824"/>
          </w:tcPr>
          <w:p>
            <w:r>
              <w:rPr>
                <w:sz w:val="19"/>
              </w:rPr>
            </w:r>
            <w:r>
              <w:rPr>
                <w:sz w:val="19"/>
              </w:rPr>
              <w:t>1.3.1</w:t>
            </w:r>
          </w:p>
        </w:tc>
        <w:tc>
          <w:tcPr>
            <w:tcW w:type="dxa" w:w="4824"/>
          </w:tcPr>
          <w:p>
            <w:r>
              <w:rPr>
                <w:sz w:val="19"/>
              </w:rPr>
            </w:r>
            <w:r>
              <w:rPr>
                <w:sz w:val="19"/>
              </w:rPr>
              <w:t xml:space="preserve">Published the SDK enforcement layer and the DC2D runtime controls; added </w:t>
            </w:r>
            <w:r>
              <w:rPr>
                <w:rFonts w:ascii="Courier New" w:hAnsi="Courier New"/>
                <w:sz w:val="19"/>
              </w:rPr>
              <w:t>runtime-patterns.md</w:t>
            </w:r>
            <w:r>
              <w:rPr>
                <w:sz w:val="19"/>
              </w:rPr>
              <w:t xml:space="preserve">, </w:t>
            </w:r>
            <w:r>
              <w:rPr>
                <w:rFonts w:ascii="Courier New" w:hAnsi="Courier New"/>
                <w:sz w:val="19"/>
              </w:rPr>
              <w:t>framework-adapters.md</w:t>
            </w:r>
            <w:r>
              <w:rPr>
                <w:sz w:val="19"/>
              </w:rPr>
              <w:t xml:space="preserve"> and the runtime-architecture diagram.</w:t>
            </w:r>
          </w:p>
        </w:tc>
      </w:tr>
      <w:tr>
        <w:tc>
          <w:tcPr>
            <w:tcW w:type="dxa" w:w="4824"/>
          </w:tcPr>
          <w:p>
            <w:r>
              <w:rPr>
                <w:sz w:val="19"/>
              </w:rPr>
            </w:r>
            <w:r>
              <w:rPr>
                <w:sz w:val="19"/>
              </w:rPr>
              <w:t>1.3.2</w:t>
            </w:r>
          </w:p>
        </w:tc>
        <w:tc>
          <w:tcPr>
            <w:tcW w:type="dxa" w:w="4824"/>
          </w:tcPr>
          <w:p>
            <w:r>
              <w:rPr>
                <w:sz w:val="19"/>
              </w:rPr>
            </w:r>
            <w:r>
              <w:rPr>
                <w:sz w:val="19"/>
              </w:rPr>
              <w:t xml:space="preserve">Hardened the </w:t>
            </w:r>
            <w:r>
              <w:rPr>
                <w:b/>
                <w:sz w:val="19"/>
              </w:rPr>
              <w:t>§12.5</w:t>
            </w:r>
            <w:r>
              <w:rPr>
                <w:sz w:val="19"/>
              </w:rPr>
              <w:t xml:space="preserve"> boundary: Add/Change/Delete on Restricted is now rejected both at authoring time by </w:t>
            </w:r>
            <w:r>
              <w:rPr>
                <w:rFonts w:ascii="Courier New" w:hAnsi="Courier New"/>
                <w:sz w:val="19"/>
              </w:rPr>
              <w:t>profile-3d.schema.json</w:t>
            </w:r>
            <w:r>
              <w:rPr>
                <w:sz w:val="19"/>
              </w:rPr>
              <w:t xml:space="preserve"> and at decision time by an immutable evaluator floor, closing a gap where an </w:t>
            </w:r>
            <w:r>
              <w:rPr>
                <w:rFonts w:ascii="Courier New" w:hAnsi="Courier New"/>
                <w:sz w:val="19"/>
              </w:rPr>
              <w:t>autonomy_overrides</w:t>
            </w:r>
            <w:r>
              <w:rPr>
                <w:sz w:val="19"/>
              </w:rPr>
              <w:t xml:space="preserve"> entry could raise a prohibited cell.</w:t>
            </w:r>
          </w:p>
        </w:tc>
      </w:tr>
      <w:tr>
        <w:tc>
          <w:tcPr>
            <w:tcW w:type="dxa" w:w="4824"/>
          </w:tcPr>
          <w:p>
            <w:r>
              <w:rPr>
                <w:sz w:val="19"/>
              </w:rPr>
            </w:r>
            <w:r>
              <w:rPr>
                <w:sz w:val="19"/>
              </w:rPr>
              <w:t>1.4.0</w:t>
            </w:r>
          </w:p>
        </w:tc>
        <w:tc>
          <w:tcPr>
            <w:tcW w:type="dxa" w:w="4824"/>
          </w:tcPr>
          <w:p>
            <w:r>
              <w:rPr>
                <w:sz w:val="19"/>
              </w:rPr>
            </w:r>
            <w:r>
              <w:rPr>
                <w:sz w:val="19"/>
              </w:rPr>
              <w:t xml:space="preserve">Made the Tools Registry a first-class policy layer (§9.4–9.5); added </w:t>
            </w:r>
            <w:r>
              <w:rPr>
                <w:b/>
                <w:sz w:val="19"/>
              </w:rPr>
              <w:t>session governance</w:t>
            </w:r>
            <w:r>
              <w:rPr>
                <w:sz w:val="19"/>
              </w:rPr>
              <w:t xml:space="preserve"> (§9.7), </w:t>
            </w:r>
            <w:r>
              <w:rPr>
                <w:b/>
                <w:sz w:val="19"/>
              </w:rPr>
              <w:t>audit evidence</w:t>
            </w:r>
            <w:r>
              <w:rPr>
                <w:sz w:val="19"/>
              </w:rPr>
              <w:t xml:space="preserve"> (§9.8) and the </w:t>
            </w:r>
            <w:r>
              <w:rPr>
                <w:b/>
                <w:sz w:val="19"/>
              </w:rPr>
              <w:t>MCP policy server</w:t>
            </w:r>
            <w:r>
              <w:rPr>
                <w:sz w:val="19"/>
              </w:rPr>
              <w:t xml:space="preserve"> (§9.9). Renamed v1.3 → v1.4 per the minor-release convention.</w:t>
            </w:r>
          </w:p>
        </w:tc>
      </w:tr>
      <w:tr>
        <w:tc>
          <w:tcPr>
            <w:tcW w:type="dxa" w:w="4824"/>
          </w:tcPr>
          <w:p>
            <w:r>
              <w:rPr>
                <w:sz w:val="19"/>
              </w:rPr>
            </w:r>
            <w:r>
              <w:rPr>
                <w:sz w:val="19"/>
              </w:rPr>
              <w:t>1.4.1</w:t>
            </w:r>
          </w:p>
        </w:tc>
        <w:tc>
          <w:tcPr>
            <w:tcW w:type="dxa" w:w="4824"/>
          </w:tcPr>
          <w:p>
            <w:r>
              <w:rPr>
                <w:sz w:val="19"/>
              </w:rPr>
            </w:r>
            <w:r>
              <w:rPr>
                <w:sz w:val="19"/>
              </w:rPr>
              <w:t xml:space="preserve">Introduced </w:t>
            </w:r>
            <w:r>
              <w:rPr>
                <w:b/>
                <w:sz w:val="19"/>
              </w:rPr>
              <w:t>RMACD Intents</w:t>
            </w:r>
            <w:r>
              <w:rPr>
                <w:sz w:val="19"/>
              </w:rPr>
              <w:t xml:space="preserve"> (</w:t>
            </w:r>
            <w:r>
              <w:rPr>
                <w:rFonts w:ascii="Courier New" w:hAnsi="Courier New"/>
                <w:sz w:val="19"/>
              </w:rPr>
              <w:t>docs/intents.md</w:t>
            </w:r>
            <w:r>
              <w:rPr>
                <w:sz w:val="19"/>
              </w:rPr>
              <w:t xml:space="preserve">, </w:t>
            </w:r>
            <w:r>
              <w:rPr>
                <w:rFonts w:ascii="Courier New" w:hAnsi="Courier New"/>
                <w:sz w:val="19"/>
              </w:rPr>
              <w:t>docs/intent-specification.md</w:t>
            </w:r>
            <w:r>
              <w:rPr>
                <w:sz w:val="19"/>
              </w:rPr>
              <w:t xml:space="preserve">): declarative pre-execution adjudication complementing runtime interception. Restated the §12.4 exception template as an </w:t>
            </w:r>
            <w:r>
              <w:rPr>
                <w:rFonts w:ascii="Courier New" w:hAnsi="Courier New"/>
                <w:sz w:val="19"/>
              </w:rPr>
              <w:t>exception</w:t>
            </w:r>
            <w:r>
              <w:rPr>
                <w:sz w:val="19"/>
              </w:rPr>
              <w:t xml:space="preserve"> intent, resolving a schema URL advertised since v1.0 but never published. Corrected the Appendix A quick-reference card, where Add on Restricted still read </w:t>
            </w:r>
            <w:r>
              <w:rPr>
                <w:i/>
                <w:sz w:val="19"/>
              </w:rPr>
              <w:t>Elevated Approval</w:t>
            </w:r>
            <w:r>
              <w:rPr>
                <w:sz w:val="19"/>
              </w:rPr>
              <w:t xml:space="preserve"> after the 1.4.0 correction to §3.1.</w:t>
            </w:r>
          </w:p>
        </w:tc>
      </w:tr>
    </w:tbl>
    <w:p/>
    <w:p>
      <w:pPr>
        <w:pStyle w:val="Heading3"/>
      </w:pPr>
      <w:r>
        <w:t>SDK releases behind this revision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SDK</w:t>
            </w:r>
          </w:p>
        </w:tc>
        <w:tc>
          <w:tcPr>
            <w:tcW w:type="dxa" w:w="4824"/>
          </w:tcPr>
          <w:p>
            <w:r>
              <w:rPr>
                <w:b/>
                <w:sz w:val="19"/>
              </w:rPr>
            </w:r>
            <w:r>
              <w:rPr>
                <w:b/>
                <w:sz w:val="19"/>
              </w:rPr>
              <w:t>Added</w:t>
            </w:r>
          </w:p>
        </w:tc>
      </w:tr>
      <w:tr>
        <w:tc>
          <w:tcPr>
            <w:tcW w:type="dxa" w:w="4824"/>
          </w:tcPr>
          <w:p>
            <w:r>
              <w:rPr>
                <w:sz w:val="19"/>
              </w:rPr>
            </w:r>
            <w:r>
              <w:rPr>
                <w:sz w:val="19"/>
              </w:rPr>
              <w:t>0.4.0–0.6.0</w:t>
            </w:r>
          </w:p>
        </w:tc>
        <w:tc>
          <w:tcPr>
            <w:tcW w:type="dxa" w:w="4824"/>
          </w:tcPr>
          <w:p>
            <w:r>
              <w:rPr>
                <w:sz w:val="19"/>
              </w:rPr>
            </w:r>
            <w:r>
              <w:rPr>
                <w:rFonts w:ascii="Courier New" w:hAnsi="Courier New"/>
                <w:sz w:val="19"/>
              </w:rPr>
              <w:t>PolicyEnforcer</w:t>
            </w:r>
            <w:r>
              <w:rPr>
                <w:sz w:val="19"/>
              </w:rPr>
              <w:t xml:space="preserve">, </w:t>
            </w:r>
            <w:r>
              <w:rPr>
                <w:rFonts w:ascii="Courier New" w:hAnsi="Courier New"/>
                <w:sz w:val="19"/>
              </w:rPr>
              <w:t>ApprovalGateway</w:t>
            </w:r>
            <w:r>
              <w:rPr>
                <w:sz w:val="19"/>
              </w:rPr>
              <w:t xml:space="preserve">, </w:t>
            </w:r>
            <w:r>
              <w:rPr>
                <w:rFonts w:ascii="Courier New" w:hAnsi="Courier New"/>
                <w:sz w:val="19"/>
              </w:rPr>
              <w:t>AuditLogger</w:t>
            </w:r>
            <w:r>
              <w:rPr>
                <w:sz w:val="19"/>
              </w:rPr>
              <w:t xml:space="preserve"> and the </w:t>
            </w:r>
            <w:r>
              <w:rPr>
                <w:rFonts w:ascii="Courier New" w:hAnsi="Courier New"/>
                <w:sz w:val="19"/>
              </w:rPr>
              <w:t>RMACDError</w:t>
            </w:r>
            <w:r>
              <w:rPr>
                <w:sz w:val="19"/>
              </w:rPr>
              <w:t xml:space="preserve"> hierarchy; DC2D </w:t>
            </w:r>
            <w:r>
              <w:rPr>
                <w:rFonts w:ascii="Courier New" w:hAnsi="Courier New"/>
                <w:sz w:val="19"/>
              </w:rPr>
              <w:t>Redactor</w:t>
            </w:r>
            <w:r>
              <w:rPr>
                <w:sz w:val="19"/>
              </w:rPr>
              <w:t xml:space="preserve"> / </w:t>
            </w:r>
            <w:r>
              <w:rPr>
                <w:rFonts w:ascii="Courier New" w:hAnsi="Courier New"/>
                <w:sz w:val="19"/>
              </w:rPr>
              <w:t>EgressGate</w:t>
            </w:r>
            <w:r>
              <w:rPr>
                <w:sz w:val="19"/>
              </w:rPr>
              <w:t xml:space="preserve">; </w:t>
            </w:r>
            <w:r>
              <w:rPr>
                <w:rFonts w:ascii="Courier New" w:hAnsi="Courier New"/>
                <w:sz w:val="19"/>
              </w:rPr>
              <w:t>build_system_prompt</w:t>
            </w:r>
            <w:r>
              <w:rPr>
                <w:sz w:val="19"/>
              </w:rPr>
              <w:t>; runnable reference integrations.</w:t>
            </w:r>
          </w:p>
        </w:tc>
      </w:tr>
      <w:tr>
        <w:tc>
          <w:tcPr>
            <w:tcW w:type="dxa" w:w="4824"/>
          </w:tcPr>
          <w:p>
            <w:r>
              <w:rPr>
                <w:sz w:val="19"/>
              </w:rPr>
            </w:r>
            <w:r>
              <w:rPr>
                <w:sz w:val="19"/>
              </w:rPr>
              <w:t>0.7.0</w:t>
            </w:r>
          </w:p>
        </w:tc>
        <w:tc>
          <w:tcPr>
            <w:tcW w:type="dxa" w:w="4824"/>
          </w:tcPr>
          <w:p>
            <w:r>
              <w:rPr>
                <w:sz w:val="19"/>
              </w:rPr>
            </w:r>
            <w:r>
              <w:rPr>
                <w:sz w:val="19"/>
              </w:rPr>
              <w:t>The immutable §12.5 runtime floor (see spec 1.3.2); time-window, egress and redaction fixes.</w:t>
            </w:r>
          </w:p>
        </w:tc>
      </w:tr>
      <w:tr>
        <w:tc>
          <w:tcPr>
            <w:tcW w:type="dxa" w:w="4824"/>
          </w:tcPr>
          <w:p>
            <w:r>
              <w:rPr>
                <w:sz w:val="19"/>
              </w:rPr>
            </w:r>
            <w:r>
              <w:rPr>
                <w:sz w:val="19"/>
              </w:rPr>
              <w:t>0.8.0</w:t>
            </w:r>
          </w:p>
        </w:tc>
        <w:tc>
          <w:tcPr>
            <w:tcW w:type="dxa" w:w="4824"/>
          </w:tcPr>
          <w:p>
            <w:r>
              <w:rPr>
                <w:sz w:val="19"/>
              </w:rPr>
            </w:r>
            <w:r>
              <w:rPr>
                <w:b/>
                <w:sz w:val="19"/>
              </w:rPr>
              <w:t>Tools Registry as a policy layer.</w:t>
            </w:r>
            <w:r>
              <w:rPr>
                <w:sz w:val="19"/>
              </w:rPr>
              <w:t xml:space="preserve"> Each tool registers an operation, an optional dynamic classifier (args → operation/tier/target) and an optional capability ceiling; </w:t>
            </w:r>
            <w:r>
              <w:rPr>
                <w:rFonts w:ascii="Courier New" w:hAnsi="Courier New"/>
                <w:sz w:val="19"/>
              </w:rPr>
              <w:t>enforce_tool_call(tool, args)</w:t>
            </w:r>
            <w:r>
              <w:rPr>
                <w:sz w:val="19"/>
              </w:rPr>
              <w:t xml:space="preserve"> enforces </w:t>
            </w:r>
            <w:r>
              <w:rPr>
                <w:b/>
                <w:sz w:val="19"/>
              </w:rPr>
              <w:t>profile ∩ tool capability</w:t>
            </w:r>
            <w:r>
              <w:rPr>
                <w:sz w:val="19"/>
              </w:rPr>
              <w:t xml:space="preserve"> with the §12.5 floor. The standalone </w:t>
            </w:r>
            <w:r>
              <w:rPr>
                <w:rFonts w:ascii="Courier New" w:hAnsi="Courier New"/>
                <w:sz w:val="19"/>
              </w:rPr>
              <w:t>tools-registry/</w:t>
            </w:r>
            <w:r>
              <w:rPr>
                <w:sz w:val="19"/>
              </w:rPr>
              <w:t xml:space="preserve"> was folded into </w:t>
            </w:r>
            <w:r>
              <w:rPr>
                <w:rFonts w:ascii="Courier New" w:hAnsi="Courier New"/>
                <w:sz w:val="19"/>
              </w:rPr>
              <w:t>rmacd.registry</w:t>
            </w:r>
            <w:r>
              <w:rPr>
                <w:sz w:val="19"/>
              </w:rPr>
              <w:t>.</w:t>
            </w:r>
          </w:p>
        </w:tc>
      </w:tr>
      <w:tr>
        <w:tc>
          <w:tcPr>
            <w:tcW w:type="dxa" w:w="4824"/>
          </w:tcPr>
          <w:p>
            <w:r>
              <w:rPr>
                <w:sz w:val="19"/>
              </w:rPr>
            </w:r>
            <w:r>
              <w:rPr>
                <w:sz w:val="19"/>
              </w:rPr>
              <w:t>0.9.1</w:t>
            </w:r>
          </w:p>
        </w:tc>
        <w:tc>
          <w:tcPr>
            <w:tcW w:type="dxa" w:w="4824"/>
          </w:tcPr>
          <w:p>
            <w:r>
              <w:rPr>
                <w:sz w:val="19"/>
              </w:rPr>
            </w:r>
            <w:r>
              <w:rPr>
                <w:sz w:val="19"/>
              </w:rPr>
              <w:t>Single-sourced the package version; bundled the three profile schemas into the wheel.</w:t>
            </w:r>
          </w:p>
        </w:tc>
      </w:tr>
      <w:tr>
        <w:tc>
          <w:tcPr>
            <w:tcW w:type="dxa" w:w="4824"/>
          </w:tcPr>
          <w:p>
            <w:r>
              <w:rPr>
                <w:sz w:val="19"/>
              </w:rPr>
            </w:r>
            <w:r>
              <w:rPr>
                <w:sz w:val="19"/>
              </w:rPr>
              <w:t>0.10.0</w:t>
            </w:r>
          </w:p>
        </w:tc>
        <w:tc>
          <w:tcPr>
            <w:tcW w:type="dxa" w:w="4824"/>
          </w:tcPr>
          <w:p>
            <w:r>
              <w:rPr>
                <w:sz w:val="19"/>
              </w:rPr>
            </w:r>
            <w:r>
              <w:rPr>
                <w:sz w:val="19"/>
              </w:rPr>
              <w:t xml:space="preserve">Optional </w:t>
            </w:r>
            <w:r>
              <w:rPr>
                <w:b/>
                <w:sz w:val="19"/>
              </w:rPr>
              <w:t>LLM-assisted tool classification</w:t>
            </w:r>
            <w:r>
              <w:rPr>
                <w:sz w:val="19"/>
              </w:rPr>
              <w:t xml:space="preserve"> (</w:t>
            </w:r>
            <w:r>
              <w:rPr>
                <w:rFonts w:ascii="Courier New" w:hAnsi="Courier New"/>
                <w:sz w:val="19"/>
              </w:rPr>
              <w:t>LLMToolClassifier</w:t>
            </w:r>
            <w:r>
              <w:rPr>
                <w:sz w:val="19"/>
              </w:rPr>
              <w:t xml:space="preserve">, extra </w:t>
            </w:r>
            <w:r>
              <w:rPr>
                <w:rFonts w:ascii="Courier New" w:hAnsi="Courier New"/>
                <w:sz w:val="19"/>
              </w:rPr>
              <w:t>[llm]</w:t>
            </w:r>
            <w:r>
              <w:rPr>
                <w:sz w:val="19"/>
              </w:rPr>
              <w:t xml:space="preserve">) wired into </w:t>
            </w:r>
            <w:r>
              <w:rPr>
                <w:rFonts w:ascii="Courier New" w:hAnsi="Courier New"/>
                <w:sz w:val="19"/>
              </w:rPr>
              <w:t>MCPRegistryBridge</w:t>
            </w:r>
            <w:r>
              <w:rPr>
                <w:sz w:val="19"/>
              </w:rPr>
              <w:t xml:space="preserve">; capability ceilings and provenance on auto-classified MCP tools; a </w:t>
            </w:r>
            <w:r>
              <w:rPr>
                <w:rFonts w:ascii="Courier New" w:hAnsi="Courier New"/>
                <w:sz w:val="19"/>
              </w:rPr>
              <w:t>low_confidence_tools()</w:t>
            </w:r>
            <w:r>
              <w:rPr>
                <w:sz w:val="19"/>
              </w:rPr>
              <w:t xml:space="preserve"> review queue.</w:t>
            </w:r>
          </w:p>
        </w:tc>
      </w:tr>
      <w:tr>
        <w:tc>
          <w:tcPr>
            <w:tcW w:type="dxa" w:w="4824"/>
          </w:tcPr>
          <w:p>
            <w:r>
              <w:rPr>
                <w:sz w:val="19"/>
              </w:rPr>
            </w:r>
            <w:r>
              <w:rPr>
                <w:sz w:val="19"/>
              </w:rPr>
              <w:t>0.11.0</w:t>
            </w:r>
          </w:p>
        </w:tc>
        <w:tc>
          <w:tcPr>
            <w:tcW w:type="dxa" w:w="4824"/>
          </w:tcPr>
          <w:p>
            <w:r>
              <w:rPr>
                <w:sz w:val="19"/>
              </w:rPr>
            </w:r>
            <w:r>
              <w:rPr>
                <w:b/>
                <w:sz w:val="19"/>
              </w:rPr>
              <w:t>Governance Packs</w:t>
            </w:r>
            <w:r>
              <w:rPr>
                <w:sz w:val="19"/>
              </w:rPr>
              <w:t xml:space="preserve"> (</w:t>
            </w:r>
            <w:r>
              <w:rPr>
                <w:rFonts w:ascii="Courier New" w:hAnsi="Courier New"/>
                <w:sz w:val="19"/>
              </w:rPr>
              <w:t>rmacd.packs</w:t>
            </w:r>
            <w:r>
              <w:rPr>
                <w:sz w:val="19"/>
              </w:rPr>
              <w:t xml:space="preserve">) — declarative, reusable, signable tool → </w:t>
            </w:r>
            <w:r>
              <w:rPr>
                <w:rFonts w:ascii="Courier New" w:hAnsi="Courier New"/>
                <w:sz w:val="19"/>
              </w:rPr>
              <w:t>(operation, tier, target)</w:t>
            </w:r>
            <w:r>
              <w:rPr>
                <w:sz w:val="19"/>
              </w:rPr>
              <w:t xml:space="preserve"> mappings as data; AI-compile authoring (</w:t>
            </w:r>
            <w:r>
              <w:rPr>
                <w:rFonts w:ascii="Courier New" w:hAnsi="Courier New"/>
                <w:sz w:val="19"/>
              </w:rPr>
              <w:t>rmacd classify</w:t>
            </w:r>
            <w:r>
              <w:rPr>
                <w:sz w:val="19"/>
              </w:rPr>
              <w:t>); Ed25519 signing and drift detection. 19 built-in packs.</w:t>
            </w:r>
          </w:p>
        </w:tc>
      </w:tr>
      <w:tr>
        <w:tc>
          <w:tcPr>
            <w:tcW w:type="dxa" w:w="4824"/>
          </w:tcPr>
          <w:p>
            <w:r>
              <w:rPr>
                <w:sz w:val="19"/>
              </w:rPr>
            </w:r>
            <w:r>
              <w:rPr>
                <w:sz w:val="19"/>
              </w:rPr>
              <w:t>0.12.0</w:t>
            </w:r>
          </w:p>
        </w:tc>
        <w:tc>
          <w:tcPr>
            <w:tcW w:type="dxa" w:w="4824"/>
          </w:tcPr>
          <w:p>
            <w:r>
              <w:rPr>
                <w:sz w:val="19"/>
              </w:rPr>
            </w:r>
            <w:r>
              <w:rPr>
                <w:sz w:val="19"/>
              </w:rPr>
              <w:t>Three cloud-identity packs (</w:t>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r>
              <w:rPr>
                <w:sz w:val="19"/>
              </w:rPr>
              <w:t xml:space="preserve">); </w:t>
            </w:r>
            <w:r>
              <w:rPr>
                <w:rFonts w:ascii="Courier New" w:hAnsi="Courier New"/>
                <w:sz w:val="19"/>
              </w:rPr>
              <w:t>CLIApprovalGateway</w:t>
            </w:r>
            <w:r>
              <w:rPr>
                <w:sz w:val="19"/>
              </w:rPr>
              <w:t xml:space="preserve"> promoted into the SDK. 22 packs.</w:t>
            </w:r>
          </w:p>
        </w:tc>
      </w:tr>
      <w:tr>
        <w:tc>
          <w:tcPr>
            <w:tcW w:type="dxa" w:w="4824"/>
          </w:tcPr>
          <w:p>
            <w:r>
              <w:rPr>
                <w:sz w:val="19"/>
              </w:rPr>
            </w:r>
            <w:r>
              <w:rPr>
                <w:sz w:val="19"/>
              </w:rPr>
              <w:t>0.13.0</w:t>
            </w:r>
          </w:p>
        </w:tc>
        <w:tc>
          <w:tcPr>
            <w:tcW w:type="dxa" w:w="4824"/>
          </w:tcPr>
          <w:p>
            <w:r>
              <w:rPr>
                <w:sz w:val="19"/>
              </w:rPr>
            </w:r>
            <w:r>
              <w:rPr>
                <w:b/>
                <w:sz w:val="19"/>
              </w:rPr>
              <w:t>Session governance</w:t>
            </w:r>
            <w:r>
              <w:rPr>
                <w:sz w:val="19"/>
              </w:rPr>
              <w:t xml:space="preserve"> (§9.7): a deterministic </w:t>
            </w:r>
            <w:r>
              <w:rPr>
                <w:rFonts w:ascii="Courier New" w:hAnsi="Courier New"/>
                <w:sz w:val="19"/>
              </w:rPr>
              <w:t>PreToolUse</w:t>
            </w:r>
            <w:r>
              <w:rPr>
                <w:sz w:val="19"/>
              </w:rPr>
              <w:t xml:space="preserve"> hook binding a Claude Code session to a profile, plus the </w:t>
            </w:r>
            <w:r>
              <w:rPr>
                <w:rFonts w:ascii="Courier New" w:hAnsi="Courier New"/>
                <w:sz w:val="19"/>
              </w:rPr>
              <w:t>plugins/rmacd/</w:t>
            </w:r>
            <w:r>
              <w:rPr>
                <w:sz w:val="19"/>
              </w:rPr>
              <w:t xml:space="preserve"> plugin. </w:t>
            </w:r>
            <w:r>
              <w:rPr>
                <w:b/>
                <w:sz w:val="19"/>
              </w:rPr>
              <w:t>Audit evidence</w:t>
            </w:r>
            <w:r>
              <w:rPr>
                <w:sz w:val="19"/>
              </w:rPr>
              <w:t xml:space="preserve"> (§9.8, </w:t>
            </w:r>
            <w:r>
              <w:rPr>
                <w:rFonts w:ascii="Courier New" w:hAnsi="Courier New"/>
                <w:sz w:val="19"/>
              </w:rPr>
              <w:t>rmacd audit summarize</w:t>
            </w:r>
            <w:r>
              <w:rPr>
                <w:sz w:val="19"/>
              </w:rPr>
              <w:t xml:space="preserve">). Read-only </w:t>
            </w:r>
            <w:r>
              <w:rPr>
                <w:b/>
                <w:sz w:val="19"/>
              </w:rPr>
              <w:t>MCP policy server</w:t>
            </w:r>
            <w:r>
              <w:rPr>
                <w:sz w:val="19"/>
              </w:rPr>
              <w:t xml:space="preserve"> (§9.9, </w:t>
            </w:r>
            <w:r>
              <w:rPr>
                <w:rFonts w:ascii="Courier New" w:hAnsi="Courier New"/>
                <w:sz w:val="19"/>
              </w:rPr>
              <w:t>rmacd mcp-serve</w:t>
            </w:r>
            <w:r>
              <w:rPr>
                <w:sz w:val="19"/>
              </w:rPr>
              <w:t xml:space="preserve">, extra </w:t>
            </w:r>
            <w:r>
              <w:rPr>
                <w:rFonts w:ascii="Courier New" w:hAnsi="Courier New"/>
                <w:sz w:val="19"/>
              </w:rPr>
              <w:t>[mcp]</w:t>
            </w:r>
            <w:r>
              <w:rPr>
                <w:sz w:val="19"/>
              </w:rPr>
              <w:t>). Pack composition. 34 packs.</w:t>
            </w:r>
          </w:p>
        </w:tc>
      </w:tr>
      <w:tr>
        <w:tc>
          <w:tcPr>
            <w:tcW w:type="dxa" w:w="4824"/>
          </w:tcPr>
          <w:p>
            <w:r>
              <w:rPr>
                <w:sz w:val="19"/>
              </w:rPr>
            </w:r>
            <w:r>
              <w:rPr>
                <w:sz w:val="19"/>
              </w:rPr>
              <w:t>0.14.0</w:t>
            </w:r>
          </w:p>
        </w:tc>
        <w:tc>
          <w:tcPr>
            <w:tcW w:type="dxa" w:w="4824"/>
          </w:tcPr>
          <w:p>
            <w:r>
              <w:rPr>
                <w:sz w:val="19"/>
              </w:rPr>
            </w:r>
            <w:r>
              <w:rPr>
                <w:sz w:val="19"/>
              </w:rPr>
              <w:t xml:space="preserve">Security release closing nine under-enforcement bypasses; corrected §3.1 — </w:t>
            </w:r>
            <w:r>
              <w:rPr>
                <w:b/>
                <w:sz w:val="19"/>
              </w:rPr>
              <w:t>Add on Restricted is Prohibited</w:t>
            </w:r>
            <w:r>
              <w:rPr>
                <w:sz w:val="19"/>
              </w:rPr>
              <w:t>, not Elevated Approval.</w:t>
            </w:r>
          </w:p>
        </w:tc>
      </w:tr>
      <w:tr>
        <w:tc>
          <w:tcPr>
            <w:tcW w:type="dxa" w:w="4824"/>
          </w:tcPr>
          <w:p>
            <w:r>
              <w:rPr>
                <w:sz w:val="19"/>
              </w:rPr>
            </w:r>
            <w:r>
              <w:rPr>
                <w:sz w:val="19"/>
              </w:rPr>
              <w:t>0.14.1</w:t>
            </w:r>
          </w:p>
        </w:tc>
        <w:tc>
          <w:tcPr>
            <w:tcW w:type="dxa" w:w="4824"/>
          </w:tcPr>
          <w:p>
            <w:r>
              <w:rPr>
                <w:sz w:val="19"/>
              </w:rPr>
            </w:r>
            <w:r>
              <w:rPr>
                <w:sz w:val="19"/>
              </w:rPr>
              <w:t>Closed the remaining session fail-open: a bound session whose SDK cannot be imported now denies every tool call instead of running ungoverned.</w:t>
            </w:r>
          </w:p>
        </w:tc>
      </w:tr>
    </w:tbl>
    <w:p/>
    <w:p>
      <w:r>
        <w:t>Standing constraints, unchanged by any release above:</w:t>
      </w:r>
    </w:p>
    <w:p>
      <w:pPr>
        <w:pStyle w:val="ListBullet"/>
      </w:pPr>
      <w:r>
        <w:rPr>
          <w:b/>
        </w:rPr>
        <w:t>LLM classification is advisory</w:t>
      </w:r>
      <w:r>
        <w:t>, at authoring and registration time only.</w:t>
      </w:r>
    </w:p>
    <w:p>
      <w:r>
        <w:t>Runtime enforcement — the §12.5 floor, the agent profile, the capability</w:t>
      </w:r>
    </w:p>
    <w:p>
      <w:r>
        <w:t>ceiling — is deterministic, with no model in the decision path.</w:t>
      </w:r>
    </w:p>
    <w:p>
      <w:pPr>
        <w:pStyle w:val="ListBullet"/>
      </w:pPr>
      <w:r>
        <w:rPr>
          <w:b/>
        </w:rPr>
        <w:t>Governance Packs are an SDK capability, not normative.</w:t>
      </w:r>
    </w:p>
    <w:p>
      <w:pPr>
        <w:pStyle w:val="ListBullet"/>
      </w:pPr>
      <w:r>
        <w:t xml:space="preserve">Every addition above is </w:t>
      </w:r>
      <w:r>
        <w:rPr>
          <w:b/>
        </w:rPr>
        <w:t>additive</w:t>
      </w:r>
      <w:r>
        <w:t>: the runtime gates are unchanged.</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Add/Change/Delete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One residual fail-open cannot be closed from inside the hook: if the host</w:t>
      </w:r>
    </w:p>
    <w:p>
      <w:r>
        <w:t xml:space="preserve">imposes a </w:t>
      </w:r>
      <w:r>
        <w:rPr>
          <w:b/>
        </w:rPr>
        <w:t>timeout</w:t>
      </w:r>
      <w:r>
        <w:t xml:space="preserve"> and the hook exceeds it, a host that treats a failed hook</w:t>
      </w:r>
    </w:p>
    <w:p>
      <w:r>
        <w:t>as non-blocking proceeds ungoverned. Fail-closed logic covers everything the</w:t>
      </w:r>
    </w:p>
    <w:p>
      <w:r>
        <w:t>hook can observe; it cannot cover never returning an answer. Implementations</w:t>
      </w:r>
    </w:p>
    <w:p>
      <w:r>
        <w:t>SHOULD keep the decision path free of network and disk latency — it needs only</w:t>
      </w:r>
    </w:p>
    <w:p>
      <w:r>
        <w:t>the profile and an in-memory evaluation — and deployments SHOULD set the</w:t>
      </w:r>
    </w:p>
    <w:p>
      <w:r>
        <w:t>timeout with margin for cold caches and loaded hosts. Conforming</w:t>
      </w:r>
    </w:p>
    <w:p>
      <w:r>
        <w:t>implementations MUST document this gap rather than claim fail-closed is total.</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pPr>
        <w:pStyle w:val="Heading3"/>
      </w:pPr>
      <w:r>
        <w:t>Where the record is written</w:t>
      </w:r>
    </w:p>
    <w:p>
      <w:r>
        <w:t xml:space="preserve">An implementation MUST record the </w:t>
      </w:r>
      <w:r>
        <w:rPr>
          <w:b/>
        </w:rPr>
        <w:t>decision</w:t>
      </w:r>
      <w:r>
        <w:t>, not merely the execution. A</w:t>
      </w:r>
    </w:p>
    <w:p>
      <w:r>
        <w:t>denied operation never runs, so a trail assembled from completed operations</w:t>
      </w:r>
    </w:p>
    <w:p>
      <w:r>
        <w:t>omits every denial — the exact evidence that demonstrates the boundary held.</w:t>
      </w:r>
    </w:p>
    <w:p>
      <w:r>
        <w:t>Where a runtime offers separate pre- and post-execution interception (§9.7),</w:t>
      </w:r>
    </w:p>
    <w:p>
      <w:r>
        <w:t>the decision is recorded before the call and the outcome after it, joined by a</w:t>
      </w:r>
    </w:p>
    <w:p>
      <w:r>
        <w:t>call identifier.</w:t>
      </w:r>
    </w:p>
    <w:p>
      <w:r>
        <w:t>The outcome record MUST carry forward the classification and autonomy level the</w:t>
      </w:r>
    </w:p>
    <w:p>
      <w:r>
        <w:rPr>
          <w:b/>
        </w:rPr>
        <w:t>decision</w:t>
      </w:r>
      <w:r>
        <w:t xml:space="preserve"> computed. It MUST NOT recompute them. Two failures follow from</w:t>
      </w:r>
    </w:p>
    <w:p>
      <w:r>
        <w:t>recomputing, both observed in the reference implementation before this rule was</w:t>
      </w:r>
    </w:p>
    <w:p>
      <w:r>
        <w:t>stated:</w:t>
      </w:r>
    </w:p>
    <w:p>
      <w:pPr>
        <w:pStyle w:val="ListBullet"/>
      </w:pPr>
      <w:r>
        <w:rPr>
          <w:b/>
        </w:rPr>
        <w:t>The classification is not a pure function of the call.</w:t>
      </w:r>
      <w:r>
        <w:t xml:space="preserve"> Whether writing to</w:t>
      </w:r>
    </w:p>
    <w:p>
      <w:r>
        <w:t>a path is an Add or a Change depends on whether the path exists — which the</w:t>
      </w:r>
    </w:p>
    <w:p>
      <w:r>
        <w:t>call itself has just changed. Re-deriving after execution filed every file</w:t>
      </w:r>
    </w:p>
    <w:p>
      <w:r>
        <w:t xml:space="preserve">creation as </w:t>
      </w:r>
      <w:r>
        <w:rPr>
          <w:rFonts w:ascii="Courier New" w:hAnsi="Courier New"/>
          <w:sz w:val="19"/>
        </w:rPr>
        <w:t>Add</w:t>
      </w:r>
      <w:r>
        <w:t xml:space="preserve"> in its decision and </w:t>
      </w:r>
      <w:r>
        <w:rPr>
          <w:rFonts w:ascii="Courier New" w:hAnsi="Courier New"/>
          <w:sz w:val="19"/>
        </w:rPr>
        <w:t>Change</w:t>
      </w:r>
      <w:r>
        <w:t xml:space="preserve"> in its outcome: two records</w:t>
      </w:r>
    </w:p>
    <w:p>
      <w:r>
        <w:t>that join on the same identifier and disagree about what the agent did.</w:t>
      </w:r>
    </w:p>
    <w:p>
      <w:pPr>
        <w:pStyle w:val="ListBullet"/>
      </w:pPr>
      <w:r>
        <w:rPr>
          <w:b/>
        </w:rPr>
        <w:t>The autonomy level is a property of the decision, not the execution.</w:t>
      </w:r>
      <w:r>
        <w:t xml:space="preserve"> An</w:t>
      </w:r>
    </w:p>
    <w:p>
      <w:r>
        <w:t xml:space="preserve">outcome record that asserts its own autonomy will claim </w:t>
      </w:r>
      <w:r>
        <w:rPr>
          <w:rFonts w:ascii="Courier New" w:hAnsi="Courier New"/>
          <w:sz w:val="19"/>
        </w:rPr>
        <w:t>autonomous</w:t>
      </w:r>
      <w:r>
        <w:t xml:space="preserve"> for a</w:t>
      </w:r>
    </w:p>
    <w:p>
      <w:r>
        <w:t>call a human explicitly approved. The decision row holds the truth, but an</w:t>
      </w:r>
    </w:p>
    <w:p>
      <w:r>
        <w:t>outcome row read on its own — which is how "what did this agent do without</w:t>
      </w:r>
    </w:p>
    <w:p>
      <w:r>
        <w:t>asking?" is answered — then states the opposite.</w:t>
      </w:r>
    </w:p>
    <w:p>
      <w:r>
        <w:t>Carrying the decision forward also keeps the post-execution path cheap: it needs</w:t>
      </w:r>
    </w:p>
    <w:p>
      <w:r>
        <w:t>no profile, no registry, and no re-evaluation.</w:t>
      </w:r>
    </w:p>
    <w:p>
      <w:r>
        <w:t xml:space="preserve">Records MAY carry an </w:t>
      </w:r>
      <w:r>
        <w:rPr>
          <w:rFonts w:ascii="Courier New" w:hAnsi="Courier New"/>
          <w:sz w:val="19"/>
        </w:rPr>
        <w:t>extra</w:t>
      </w:r>
      <w:r>
        <w:t xml:space="preserve"> block for context outside the C.6 shape — session</w:t>
      </w:r>
    </w:p>
    <w:p>
      <w:r>
        <w:t>and call identifiers, and the agent identity when the call originated in a</w:t>
      </w:r>
    </w:p>
    <w:p>
      <w:r>
        <w:t>subagent. Consumers MUST tolerate its absence.</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0.14.1):</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r>
        <w:rPr>
          <w:b/>
        </w:rPr>
        <w:t>Conformance note (session governance):</w:t>
      </w:r>
      <w:r>
        <w:t xml:space="preserve"> the reference implementation writes</w:t>
      </w:r>
    </w:p>
    <w:p>
      <w:r>
        <w:t>the session trail best-effort — an unwritable sink emits a diagnostic and the</w:t>
      </w:r>
    </w:p>
    <w:p>
      <w:r>
        <w:t>governance decision stands unchanged. This is deliberate: an audit failure must</w:t>
      </w:r>
    </w:p>
    <w:p>
      <w:r>
        <w:t>not take down a working session. It does mean the trail is not itself evidence</w:t>
      </w:r>
    </w:p>
    <w:p>
      <w:r>
        <w:t>of completeness, so a deployment that must prove no gaps MUST monitor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r>
        <w:t>An exception request is a declared, justified, time-bounded ask submitted for</w:t>
      </w:r>
    </w:p>
    <w:p>
      <w:r>
        <w:t>adjudication before it takes effect — which is precisely an RMACD Intent. It is</w:t>
      </w:r>
    </w:p>
    <w:p>
      <w:r>
        <w:t xml:space="preserve">therefore expressed as the </w:t>
      </w:r>
      <w:r>
        <w:rPr>
          <w:rFonts w:ascii="Courier New" w:hAnsi="Courier New"/>
          <w:sz w:val="19"/>
        </w:rPr>
        <w:t>exception</w:t>
      </w:r>
      <w:r>
        <w:t xml:space="preserve"> intent type rather than as a separate</w:t>
      </w:r>
    </w:p>
    <w:p>
      <w:r>
        <w:t>record shape, so the framework carries one request path rather than two. See</w:t>
      </w:r>
    </w:p>
    <w:p>
      <w:r>
        <w:rPr>
          <w:rFonts w:ascii="Courier New" w:hAnsi="Courier New"/>
          <w:sz w:val="19"/>
        </w:rPr>
        <w:t>docs/intent-specification.md</w:t>
      </w:r>
      <w:r>
        <w:t xml:space="preserve"> §7.4.</w:t>
      </w:r>
    </w:p>
    <w:p>
      <w:pPr>
        <w:spacing w:after="160"/>
        <w:ind w:left="360"/>
      </w:pPr>
      <w:r>
        <w:rPr>
          <w:rFonts w:ascii="Courier New" w:hAnsi="Courier New"/>
          <w:sz w:val="17"/>
        </w:rPr>
        <w:t>{</w:t>
        <w:br/>
      </w:r>
      <w:r>
        <w:rPr>
          <w:rFonts w:ascii="Courier New" w:hAnsi="Courier New"/>
          <w:sz w:val="17"/>
        </w:rPr>
        <w:t xml:space="preserve">  "$schema": "https://rmacd-framework.org/schema/v1/intent.json",</w:t>
        <w:br/>
      </w:r>
      <w:r>
        <w:rPr>
          <w:rFonts w:ascii="Courier New" w:hAnsi="Courier New"/>
          <w:sz w:val="17"/>
        </w:rPr>
        <w:t xml:space="preserve">  "intent_id": "int-exc-20260115-001",</w:t>
        <w:br/>
      </w:r>
      <w:r>
        <w:rPr>
          <w:rFonts w:ascii="Courier New" w:hAnsi="Courier New"/>
          <w:sz w:val="17"/>
        </w:rPr>
        <w:t xml:space="preserve">  "intent_type": "exception",</w:t>
        <w:br/>
      </w:r>
      <w:r>
        <w:rPr>
          <w:rFonts w:ascii="Courier New" w:hAnsi="Courier New"/>
          <w:sz w:val="17"/>
        </w:rPr>
        <w:t xml:space="preserve">  "submitted_at": "2026-01-15T10:15:00Z",</w:t>
        <w:br/>
      </w:r>
      <w:r>
        <w:rPr>
          <w:rFonts w:ascii="Courier New" w:hAnsi="Courier New"/>
          <w:sz w:val="17"/>
        </w:rPr>
        <w:t xml:space="preserve">  "actor": {</w:t>
        <w:br/>
      </w:r>
      <w:r>
        <w:rPr>
          <w:rFonts w:ascii="Courier New" w:hAnsi="Courier New"/>
          <w:sz w:val="17"/>
        </w:rPr>
        <w:t xml:space="preserve">    "kind": "agent",</w:t>
        <w:br/>
      </w:r>
      <w:r>
        <w:rPr>
          <w:rFonts w:ascii="Courier New" w:hAnsi="Courier New"/>
          <w:sz w:val="17"/>
        </w:rPr>
        <w:t xml:space="preserve">    "id": "devops-agent-007",</w:t>
        <w:br/>
      </w:r>
      <w:r>
        <w:rPr>
          <w:rFonts w:ascii="Courier New" w:hAnsi="Courier New"/>
          <w:sz w:val="17"/>
        </w:rPr>
        <w:t xml:space="preserve">    "authorization": "spiffe://corp/ns/agents/devops-agent-007",</w:t>
        <w:br/>
      </w:r>
      <w:r>
        <w:rPr>
          <w:rFonts w:ascii="Courier New" w:hAnsi="Courier New"/>
          <w:sz w:val="17"/>
        </w:rPr>
        <w:t xml:space="preserve">    "on_behalf_of": "dba-team@company.com"</w:t>
        <w:br/>
      </w:r>
      <w:r>
        <w:rPr>
          <w:rFonts w:ascii="Courier New" w:hAnsi="Courier New"/>
          <w:sz w:val="17"/>
        </w:rPr>
        <w:t xml:space="preserve">  },</w:t>
        <w:br/>
      </w:r>
      <w:r>
        <w:rPr>
          <w:rFonts w:ascii="Courier New" w:hAnsi="Courier New"/>
          <w:sz w:val="17"/>
        </w:rPr>
        <w:t xml:space="preserve">  "declaration": {</w:t>
        <w:br/>
      </w:r>
      <w:r>
        <w:rPr>
          <w:rFonts w:ascii="Courier New" w:hAnsi="Courier New"/>
          <w:sz w:val="17"/>
        </w:rPr>
        <w:t xml:space="preserve">    "operation": "A",</w:t>
        <w:br/>
      </w:r>
      <w:r>
        <w:rPr>
          <w:rFonts w:ascii="Courier New" w:hAnsi="Courier New"/>
          <w:sz w:val="17"/>
        </w:rPr>
        <w:t xml:space="preserve">    "target": "db://prod/payments/migration",</w:t>
        <w:br/>
      </w:r>
      <w:r>
        <w:rPr>
          <w:rFonts w:ascii="Courier New" w:hAnsi="Courier New"/>
          <w:sz w:val="17"/>
        </w:rPr>
        <w:t xml:space="preserve">    "data_classification": "confidential",</w:t>
        <w:br/>
      </w:r>
      <w:r>
        <w:rPr>
          <w:rFonts w:ascii="Courier New" w:hAnsi="Courier New"/>
          <w:sz w:val="17"/>
        </w:rPr>
        <w:t xml:space="preserve">    "environment": "production",</w:t>
        <w:br/>
      </w:r>
      <w:r>
        <w:rPr>
          <w:rFonts w:ascii="Courier New" w:hAnsi="Courier New"/>
          <w:sz w:val="17"/>
        </w:rPr>
        <w:t xml:space="preserve">    "reversibility": {</w:t>
        <w:br/>
      </w:r>
      <w:r>
        <w:rPr>
          <w:rFonts w:ascii="Courier New" w:hAnsi="Courier New"/>
          <w:sz w:val="17"/>
        </w:rPr>
        <w:t xml:space="preserve">      "rollback_declared": true,</w:t>
        <w:br/>
      </w:r>
      <w:r>
        <w:rPr>
          <w:rFonts w:ascii="Courier New" w:hAnsi="Courier New"/>
          <w:sz w:val="17"/>
        </w:rPr>
        <w:t xml:space="preserve">      "rollback_plan": "Restore from snapshot db-snap-20260115-pre-migration",</w:t>
        <w:br/>
      </w:r>
      <w:r>
        <w:rPr>
          <w:rFonts w:ascii="Courier New" w:hAnsi="Courier New"/>
          <w:sz w:val="17"/>
        </w:rPr>
        <w:t xml:space="preserve">      "attested_by": "dba-team@company.com"</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"expires_at": "2026-01-16T11:00:00Z",</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"requested",</w:t>
        <w:br/>
      </w:r>
      <w:r>
        <w:rPr>
          <w:rFonts w:ascii="Courier New" w:hAnsi="Courier New"/>
          <w:sz w:val="17"/>
        </w:rPr>
        <w:t xml:space="preserve">  "justification": "Emergency database migration required due to storage failure"</w:t>
        <w:br/>
      </w:r>
      <w:r>
        <w:rPr>
          <w:rFonts w:ascii="Courier New" w:hAnsi="Courier New"/>
          <w:sz w:val="17"/>
        </w:rPr>
        <w:t>}</w:t>
      </w:r>
    </w:p>
    <w:p>
      <w:r>
        <w:t>Two points of shape are deliberate. The **approval fields are absent from the</w:t>
      </w:r>
    </w:p>
    <w:p>
      <w:r>
        <w:t>request**: who approved, when, and from what effective time are recorded as the</w:t>
      </w:r>
    </w:p>
    <w:p>
      <w:r>
        <w:rPr>
          <w:i/>
        </w:rPr>
        <w:t>disposition</w:t>
      </w:r>
      <w:r>
        <w:t xml:space="preserve"> on the adjudication's decision record (</w:t>
      </w:r>
      <w:r>
        <w:rPr>
          <w:rFonts w:ascii="Courier New" w:hAnsi="Courier New"/>
          <w:sz w:val="19"/>
        </w:rPr>
        <w:t>intent-decision.schema.json</w:t>
      </w:r>
      <w:r>
        <w:t>),</w:t>
      </w:r>
    </w:p>
    <w:p>
      <w:r>
        <w:t>not asserted by the requester — an actor declares facts and never records its own</w:t>
      </w:r>
    </w:p>
    <w:p>
      <w:r>
        <w:t xml:space="preserve">approval. And </w:t>
      </w:r>
      <w:r>
        <w:rPr>
          <w:rFonts w:ascii="Courier New" w:hAnsi="Courier New"/>
          <w:sz w:val="19"/>
        </w:rPr>
        <w:t>restricted</w:t>
      </w:r>
      <w:r>
        <w:t xml:space="preserve"> is capped at </w:t>
      </w:r>
      <w:r>
        <w:rPr>
          <w:rFonts w:ascii="Courier New" w:hAnsi="Courier New"/>
          <w:sz w:val="19"/>
        </w:rPr>
        <w:t>R</w:t>
      </w:r>
      <w:r>
        <w:t xml:space="preserve"> and </w:t>
      </w:r>
      <w:r>
        <w:rPr>
          <w:rFonts w:ascii="Courier New" w:hAnsi="Courier New"/>
          <w:sz w:val="19"/>
        </w:rPr>
        <w:t>M</w:t>
      </w:r>
      <w:r>
        <w:t xml:space="preserve"> by the schema itself, so the</w:t>
      </w:r>
    </w:p>
    <w:p>
      <w:r>
        <w:t>§12.5 prohibition below is enforced at authoring time and not only by process.</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Add, 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ListBullet"/>
      </w:pPr>
      <w:r>
        <w:rPr>
          <w:b/>
        </w:rPr>
        <w:t>`docs/intents.md`</w:t>
      </w:r>
      <w:r>
        <w:t xml:space="preserve"> (§12.4) — the intent model: adjudication as a second,</w:t>
      </w:r>
    </w:p>
    <w:p>
      <w:r>
        <w:t>out-of-band enforcement mode complementing runtime interception; the intent</w:t>
      </w:r>
    </w:p>
    <w:p>
      <w:r>
        <w:t>ladder, the production and record planes, the type registry, and how</w:t>
      </w:r>
    </w:p>
    <w:p>
      <w:r>
        <w:t>likelihood escalates the §3.1 matrix without introducing a second one.</w:t>
      </w:r>
    </w:p>
    <w:p>
      <w:pPr>
        <w:pStyle w:val="ListBullet"/>
      </w:pPr>
      <w:r>
        <w:rPr>
          <w:b/>
        </w:rPr>
        <w:t>`docs/intent-specification.md`</w:t>
      </w:r>
      <w:r>
        <w:t xml:space="preserve"> — the normative companion to the above:</w:t>
      </w:r>
    </w:p>
    <w:p>
      <w:r>
        <w:t>the intent envelope, the actor model, the adjudication contract, grants and</w:t>
      </w:r>
    </w:p>
    <w:p>
      <w:r>
        <w:t>campaigns, the decision record, and conformance requirements.</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