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rmacd 0.12.0 added 3 cloud-identity packs (`aws-iam`, `az-identity`, `gcp-iam`) — </w:t>
      </w:r>
      <w:r>
        <w:rPr>
          <w:i/>
        </w:rPr>
        <w:t>22 built-in packs</w:t>
      </w:r>
      <w:r>
        <w:rPr>
          <w:i/>
        </w:rPr>
        <w:t xml:space="preserve"> total — and promoted `CLIApprovalGateway` into the SDK so an approval-gated agent is testable straight from `pip install`. See `docs/governance-packs/`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Destructive Operations on Sensitive Data Are Prohibited:</w:t>
      </w:r>
      <w:r>
        <w:t xml:space="preserve"> Change and Delete operations against Restricted data are marked 'Prohibited' for autonomous agents. These operations require human execution, though agents may recommend or prepare such actions.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RMACD integrates naturally with existing ITIL change management processes. The combination of operation type and data classification determines the appropriate change category: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Major Change</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Major Change</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Major Change</w:t>
            </w:r>
          </w:p>
        </w:tc>
        <w:tc>
          <w:tcPr>
            <w:tcW w:type="dxa" w:w="2412"/>
          </w:tcPr>
          <w:p>
            <w:r>
              <w:rPr>
                <w:sz w:val="19"/>
              </w:rPr>
            </w:r>
            <w:r>
              <w:rPr>
                <w:sz w:val="19"/>
              </w:rPr>
              <w:t>Human Only</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Major Change</w:t>
            </w:r>
          </w:p>
        </w:tc>
        <w:tc>
          <w:tcPr>
            <w:tcW w:type="dxa" w:w="2412"/>
          </w:tcPr>
          <w:p>
            <w:r>
              <w:rPr>
                <w:sz w:val="19"/>
              </w:rPr>
            </w:r>
            <w:r>
              <w:rPr>
                <w:sz w:val="19"/>
              </w:rPr>
              <w:t>Human Only</w:t>
            </w:r>
          </w:p>
        </w:tc>
      </w:tr>
    </w:tbl>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(SDK 0.10.0+,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Define a deployment workflow</w:t>
        <w:br/>
      </w:r>
      <w:r>
        <w:rPr>
          <w:rFonts w:ascii="Courier New" w:hAnsi="Courier New"/>
          <w:sz w:val="17"/>
        </w:rPr>
        <w:t>workflow_tools = ["github_commit", "kubernetes_deploy", "slack_notify"]</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registry.calculate_workflow_risk(workflow_tools)</w:t>
        <w:br/>
      </w:r>
      <w:r>
        <w:rPr>
          <w:rFonts w:ascii="Courier New" w:hAnsi="Courier New"/>
          <w:sz w:val="17"/>
        </w:rPr>
        <w:br/>
      </w:r>
      <w:r>
        <w:rPr>
          <w:rFonts w:ascii="Courier New" w:hAnsi="Courier New"/>
          <w:sz w:val="17"/>
        </w:rPr>
        <w:t>print(f"Total Risk: {risk_analysis['total_risk']}/10")</w:t>
        <w:br/>
      </w:r>
      <w:r>
        <w:rPr>
          <w:rFonts w:ascii="Courier New" w:hAnsi="Courier New"/>
          <w:sz w:val="17"/>
        </w:rPr>
        <w:t>print(f"Highest RMACD Level: {risk_analysis['highest_rmacd']}")</w:t>
        <w:br/>
      </w:r>
      <w:r>
        <w:rPr>
          <w:rFonts w:ascii="Courier New" w:hAnsi="Courier New"/>
          <w:sz w:val="17"/>
        </w:rPr>
        <w:t>print(f"Highest Risk Tool: {risk_analysis['highest_risk_tool']}")</w:t>
      </w:r>
    </w:p>
    <w:p>
      <w:pPr>
        <w:pStyle w:val="Heading3"/>
      </w:pPr>
      <w:r>
        <w:t>Pre-Configured Tool Catalog</w:t>
      </w:r>
    </w:p>
    <w:p>
      <w:r>
        <w:t>The implementation includes 27 pre-configured tools across all RMACD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RMACD Level</w:t>
            </w:r>
          </w:p>
        </w:tc>
        <w:tc>
          <w:tcPr>
            <w:tcW w:type="dxa" w:w="3216"/>
          </w:tcPr>
          <w:p>
            <w:r>
              <w:rPr>
                <w:b/>
                <w:sz w:val="19"/>
              </w:rPr>
            </w:r>
            <w:r>
              <w:rPr>
                <w:b/>
                <w:sz w:val="19"/>
              </w:rPr>
              <w:t>Example Tools</w:t>
            </w:r>
          </w:p>
        </w:tc>
        <w:tc>
          <w:tcPr>
            <w:tcW w:type="dxa" w:w="3216"/>
          </w:tcPr>
          <w:p>
            <w:r>
              <w:rPr>
                <w:b/>
                <w:sz w:val="19"/>
              </w:rPr>
            </w:r>
            <w:r>
              <w:rPr>
                <w:b/>
                <w:sz w:val="19"/>
              </w:rPr>
              <w:t>Count</w:t>
            </w:r>
          </w:p>
        </w:tc>
      </w:tr>
      <w:tr>
        <w:tc>
          <w:tcPr>
            <w:tcW w:type="dxa" w:w="3216"/>
          </w:tcPr>
          <w:p>
            <w:r>
              <w:rPr>
                <w:sz w:val="19"/>
              </w:rPr>
            </w:r>
            <w:r>
              <w:rPr>
                <w:sz w:val="19"/>
              </w:rPr>
              <w:t>Read</w:t>
            </w:r>
          </w:p>
        </w:tc>
        <w:tc>
          <w:tcPr>
            <w:tcW w:type="dxa" w:w="3216"/>
          </w:tcPr>
          <w:p>
            <w:r>
              <w:rPr>
                <w:sz w:val="19"/>
              </w:rPr>
            </w:r>
            <w:r>
              <w:rPr>
                <w:sz w:val="19"/>
              </w:rPr>
              <w:t>web_search, database_query, metrics_monitor</w:t>
            </w:r>
          </w:p>
        </w:tc>
        <w:tc>
          <w:tcPr>
            <w:tcW w:type="dxa" w:w="3216"/>
          </w:tcPr>
          <w:p>
            <w:r>
              <w:rPr>
                <w:sz w:val="19"/>
              </w:rPr>
            </w:r>
            <w:r>
              <w:rPr>
                <w:sz w:val="19"/>
              </w:rPr>
              <w:t>5</w:t>
            </w:r>
          </w:p>
        </w:tc>
      </w:tr>
      <w:tr>
        <w:tc>
          <w:tcPr>
            <w:tcW w:type="dxa" w:w="3216"/>
          </w:tcPr>
          <w:p>
            <w:r>
              <w:rPr>
                <w:sz w:val="19"/>
              </w:rPr>
            </w:r>
            <w:r>
              <w:rPr>
                <w:sz w:val="19"/>
              </w:rPr>
              <w:t>Move</w:t>
            </w:r>
          </w:p>
        </w:tc>
        <w:tc>
          <w:tcPr>
            <w:tcW w:type="dxa" w:w="3216"/>
          </w:tcPr>
          <w:p>
            <w:r>
              <w:rPr>
                <w:sz w:val="19"/>
              </w:rPr>
            </w:r>
            <w:r>
              <w:rPr>
                <w:sz w:val="19"/>
              </w:rPr>
              <w:t>file_move, github_transfer, container_relocate</w:t>
            </w:r>
          </w:p>
        </w:tc>
        <w:tc>
          <w:tcPr>
            <w:tcW w:type="dxa" w:w="3216"/>
          </w:tcPr>
          <w:p>
            <w:r>
              <w:rPr>
                <w:sz w:val="19"/>
              </w:rPr>
            </w:r>
            <w:r>
              <w:rPr>
                <w:sz w:val="19"/>
              </w:rPr>
              <w:t>4</w:t>
            </w:r>
          </w:p>
        </w:tc>
      </w:tr>
      <w:tr>
        <w:tc>
          <w:tcPr>
            <w:tcW w:type="dxa" w:w="3216"/>
          </w:tcPr>
          <w:p>
            <w:r>
              <w:rPr>
                <w:sz w:val="19"/>
              </w:rPr>
            </w:r>
            <w:r>
              <w:rPr>
                <w:sz w:val="19"/>
              </w:rPr>
              <w:t>Add</w:t>
            </w:r>
          </w:p>
        </w:tc>
        <w:tc>
          <w:tcPr>
            <w:tcW w:type="dxa" w:w="3216"/>
          </w:tcPr>
          <w:p>
            <w:r>
              <w:rPr>
                <w:sz w:val="19"/>
              </w:rPr>
            </w:r>
            <w:r>
              <w:rPr>
                <w:sz w:val="19"/>
              </w:rPr>
              <w:t>file_create, kubernetes_deploy, slack_post</w:t>
            </w:r>
          </w:p>
        </w:tc>
        <w:tc>
          <w:tcPr>
            <w:tcW w:type="dxa" w:w="3216"/>
          </w:tcPr>
          <w:p>
            <w:r>
              <w:rPr>
                <w:sz w:val="19"/>
              </w:rPr>
            </w:r>
            <w:r>
              <w:rPr>
                <w:sz w:val="19"/>
              </w:rPr>
              <w:t>6</w:t>
            </w:r>
          </w:p>
        </w:tc>
      </w:tr>
      <w:tr>
        <w:tc>
          <w:tcPr>
            <w:tcW w:type="dxa" w:w="3216"/>
          </w:tcPr>
          <w:p>
            <w:r>
              <w:rPr>
                <w:sz w:val="19"/>
              </w:rPr>
            </w:r>
            <w:r>
              <w:rPr>
                <w:sz w:val="19"/>
              </w:rPr>
              <w:t>Change</w:t>
            </w:r>
          </w:p>
        </w:tc>
        <w:tc>
          <w:tcPr>
            <w:tcW w:type="dxa" w:w="3216"/>
          </w:tcPr>
          <w:p>
            <w:r>
              <w:rPr>
                <w:sz w:val="19"/>
              </w:rPr>
            </w:r>
            <w:r>
              <w:rPr>
                <w:sz w:val="19"/>
              </w:rPr>
              <w:t>file_edit, github_commit, config_update</w:t>
            </w:r>
          </w:p>
        </w:tc>
        <w:tc>
          <w:tcPr>
            <w:tcW w:type="dxa" w:w="3216"/>
          </w:tcPr>
          <w:p>
            <w:r>
              <w:rPr>
                <w:sz w:val="19"/>
              </w:rPr>
            </w:r>
            <w:r>
              <w:rPr>
                <w:sz w:val="19"/>
              </w:rPr>
              <w:t>6</w:t>
            </w:r>
          </w:p>
        </w:tc>
      </w:tr>
      <w:tr>
        <w:tc>
          <w:tcPr>
            <w:tcW w:type="dxa" w:w="3216"/>
          </w:tcPr>
          <w:p>
            <w:r>
              <w:rPr>
                <w:sz w:val="19"/>
              </w:rPr>
            </w:r>
            <w:r>
              <w:rPr>
                <w:sz w:val="19"/>
              </w:rPr>
              <w:t>Delete</w:t>
            </w:r>
          </w:p>
        </w:tc>
        <w:tc>
          <w:tcPr>
            <w:tcW w:type="dxa" w:w="3216"/>
          </w:tcPr>
          <w:p>
            <w:r>
              <w:rPr>
                <w:sz w:val="19"/>
              </w:rPr>
            </w:r>
            <w:r>
              <w:rPr>
                <w:sz w:val="19"/>
              </w:rPr>
              <w:t>file_delete, database_delete, s3_bucket_delete</w:t>
            </w:r>
          </w:p>
        </w:tc>
        <w:tc>
          <w:tcPr>
            <w:tcW w:type="dxa" w:w="3216"/>
          </w:tcPr>
          <w:p>
            <w:r>
              <w:rPr>
                <w:sz w:val="19"/>
              </w:rPr>
            </w:r>
            <w:r>
              <w:rPr>
                <w:sz w:val="19"/>
              </w:rPr>
              <w:t>6</w:t>
            </w:r>
          </w:p>
        </w:tc>
      </w:tr>
    </w:tbl>
    <w:p/>
    <w:p>
      <w:pPr>
        <w:pStyle w:val="Heading3"/>
      </w:pPr>
      <w:r>
        <w:t>Standard Permission Profiles</w:t>
      </w:r>
    </w:p>
    <w:p>
      <w:r>
        <w:t>Five standard permission profiles map to common agent roles: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Profile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Coordinator</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Contributor</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Developer</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 systems:</w:t>
      </w:r>
    </w:p>
    <w:p>
      <w:pPr>
        <w:spacing w:after="160"/>
        <w:ind w:left="360"/>
      </w:pPr>
      <w:r>
        <w:rPr>
          <w:rFonts w:ascii="Courier New" w:hAnsi="Courier New"/>
          <w:sz w:val="17"/>
        </w:rPr>
        <w:t>{</w:t>
        <w:br/>
      </w:r>
      <w:r>
        <w:rPr>
          <w:rFonts w:ascii="Courier New" w:hAnsi="Courier New"/>
          <w:sz w:val="17"/>
        </w:rPr>
        <w:t xml:space="preserve">  "approval_request": {</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"description": "Update nginx worker_connections from 1024 to 2048"</w:t>
        <w:br/>
      </w:r>
      <w:r>
        <w:rPr>
          <w:rFonts w:ascii="Courier New" w:hAnsi="Courier New"/>
          <w:sz w:val="17"/>
        </w:rPr>
        <w:t xml:space="preserve">    },</w:t>
        <w:br/>
      </w:r>
      <w:r>
        <w:rPr>
          <w:rFonts w:ascii="Courier New" w:hAnsi="Courier New"/>
          <w:sz w:val="17"/>
        </w:rPr>
        <w:t xml:space="preserve">    "required_autonomy": "approval",</w:t>
        <w:br/>
      </w:r>
      <w:r>
        <w:rPr>
          <w:rFonts w:ascii="Courier New" w:hAnsi="Courier New"/>
          <w:sz w:val="17"/>
        </w:rPr>
        <w:t xml:space="preserve">    "approvers": ["change-manager@company.com"],</w:t>
        <w:br/>
      </w:r>
      <w:r>
        <w:rPr>
          <w:rFonts w:ascii="Courier New" w:hAnsi="Courier New"/>
          <w:sz w:val="17"/>
        </w:rPr>
        <w:t xml:space="preserve">    "timeout_minutes": 60,</w:t>
        <w:br/>
      </w:r>
      <w:r>
        <w:rPr>
          <w:rFonts w:ascii="Courier New" w:hAnsi="Courier New"/>
          <w:sz w:val="17"/>
        </w:rPr>
        <w:t xml:space="preserve">    "created_at": "2026-01-10T14:30:00Z",</w:t>
        <w:br/>
      </w:r>
      <w:r>
        <w:rPr>
          <w:rFonts w:ascii="Courier New" w:hAnsi="Courier New"/>
          <w:sz w:val="17"/>
        </w:rPr>
        <w:t xml:space="preserve">    "context": {</w:t>
        <w:br/>
      </w:r>
      <w:r>
        <w:rPr>
          <w:rFonts w:ascii="Courier New" w:hAnsi="Courier New"/>
          <w:sz w:val="17"/>
        </w:rPr>
        <w:t xml:space="preserve">      "reason": "Performance optimization for increased traffic",</w:t>
        <w:br/>
      </w:r>
      <w:r>
        <w:rPr>
          <w:rFonts w:ascii="Courier New" w:hAnsi="Courier New"/>
          <w:sz w:val="17"/>
        </w:rPr>
        <w:t xml:space="preserve">      "rollback_plan": "Revert to backup nginx.conf.bak",</w:t>
        <w:br/>
      </w:r>
      <w:r>
        <w:rPr>
          <w:rFonts w:ascii="Courier New" w:hAnsi="Courier New"/>
          <w:sz w:val="17"/>
        </w:rPr>
        <w:t xml:space="preserve">      "impact_assessment": "Low - affects single server"</w:t>
        <w:br/>
      </w:r>
      <w:r>
        <w:rPr>
          <w:rFonts w:ascii="Courier New" w:hAnsi="Courier New"/>
          <w:sz w:val="17"/>
        </w:rPr>
        <w:t xml:space="preserve">    }</w:t>
        <w:br/>
      </w:r>
      <w:r>
        <w:rPr>
          <w:rFonts w:ascii="Courier New" w:hAnsi="Courier New"/>
          <w:sz w:val="17"/>
        </w:rPr>
        <w:t xml:space="preserve">  }</w:t>
        <w:br/>
      </w:r>
      <w:r>
        <w:rPr>
          <w:rFonts w:ascii="Courier New" w:hAnsi="Courier New"/>
          <w:sz w:val="17"/>
        </w:rPr>
        <w:t>}</w:t>
      </w:r>
    </w:p>
    <w:p>
      <w:r>
        <w:t>Approval requests can be routed to ServiceNow, Jira, Slack, Microsoft Teams, or custom workflow systems via webhooks and API integrations.</w:t>
      </w:r>
    </w:p>
    <w:p>
      <w:pPr>
        <w:pStyle w:val="Heading2"/>
      </w:pPr>
      <w:r>
        <w:t>C.6 Audit Log Format</w:t>
      </w:r>
    </w:p>
    <w:p>
      <w:r>
        <w:t>All policy decisions and agent operations generate structured audit logs for compliance:</w:t>
      </w:r>
    </w:p>
    <w:p>
      <w:pPr>
        <w:spacing w:after="160"/>
        <w:ind w:left="360"/>
      </w:pPr>
      <w:r>
        <w:rPr>
          <w:rFonts w:ascii="Courier New" w:hAnsi="Courier New"/>
          <w:sz w:val="17"/>
        </w:rPr>
        <w:t>{</w:t>
        <w:br/>
      </w:r>
      <w:r>
        <w:rPr>
          <w:rFonts w:ascii="Courier New" w:hAnsi="Courier New"/>
          <w:sz w:val="17"/>
        </w:rPr>
        <w:t xml:space="preserve">  "audit_record": {</w:t>
        <w:br/>
      </w:r>
      <w:r>
        <w:rPr>
          <w:rFonts w:ascii="Courier New" w:hAnsi="Courier New"/>
          <w:sz w:val="17"/>
        </w:rPr>
        <w:t xml:space="preserve">    "record_id": "aud-20260110-143022-001",</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"rollback_available": true</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 xml:space="preserve">  }</w:t>
        <w:br/>
      </w:r>
      <w:r>
        <w:rPr>
          <w:rFonts w:ascii="Courier New" w:hAnsi="Courier New"/>
          <w:sz w:val="17"/>
        </w:rPr>
        <w:t>}</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Two companion documents in </w:t>
      </w:r>
      <w:r>
        <w:rPr>
          <w:rFonts w:ascii="Courier New" w:hAnsi="Courier New"/>
          <w:sz w:val="19"/>
        </w:rPr>
        <w:t>docs/</w:t>
      </w:r>
      <w:r>
        <w:t xml:space="preserve"> describe</w:t>
      </w:r>
    </w:p>
    <w:p>
      <w:r>
        <w:rPr>
          <w:i/>
        </w:rPr>
        <w:t>how</w:t>
      </w:r>
      <w:r>
        <w:t xml:space="preserve"> an integrator wires it together at the call site:</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LangChain, AutoGen, CrewAI, plus a generic dispatch-site pattern for</w:t>
      </w:r>
    </w:p>
    <w:p>
      <w:r>
        <w:t>any other framework.</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