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1.4.1 | August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r>
        <w:tc>
          <w:tcPr>
            <w:tcW w:type="dxa" w:w="4824"/>
          </w:tcPr>
          <w:p>
            <w:r>
              <w:rPr>
                <w:sz w:val="19"/>
              </w:rPr>
            </w:r>
            <w:r>
              <w:rPr>
                <w:sz w:val="19"/>
              </w:rPr>
              <w:t>1.4.1</w:t>
            </w:r>
          </w:p>
        </w:tc>
        <w:tc>
          <w:tcPr>
            <w:tcW w:type="dxa" w:w="4824"/>
          </w:tcPr>
          <w:p>
            <w:r>
              <w:rPr>
                <w:sz w:val="19"/>
              </w:rPr>
            </w:r>
            <w:r>
              <w:rPr>
                <w:sz w:val="19"/>
              </w:rPr>
              <w:t xml:space="preserve">Introduced </w:t>
            </w:r>
            <w:r>
              <w:rPr>
                <w:b/>
                <w:sz w:val="19"/>
              </w:rPr>
              <w:t>RMACD Intents</w:t>
            </w:r>
            <w:r>
              <w:rPr>
                <w:sz w:val="19"/>
              </w:rPr>
              <w:t xml:space="preserve"> (</w:t>
            </w:r>
            <w:r>
              <w:rPr>
                <w:rFonts w:ascii="Courier New" w:hAnsi="Courier New"/>
                <w:sz w:val="19"/>
              </w:rPr>
              <w:t>docs/intents.md</w:t>
            </w:r>
            <w:r>
              <w:rPr>
                <w:sz w:val="19"/>
              </w:rPr>
              <w:t xml:space="preserve">, </w:t>
            </w:r>
            <w:r>
              <w:rPr>
                <w:rFonts w:ascii="Courier New" w:hAnsi="Courier New"/>
                <w:sz w:val="19"/>
              </w:rPr>
              <w:t>docs/intent-specification.md</w:t>
            </w:r>
            <w:r>
              <w:rPr>
                <w:sz w:val="19"/>
              </w:rPr>
              <w:t xml:space="preserve">): declarative pre-execution adjudication complementing runtime interception. Restated the §12.4 exception template as an </w:t>
            </w:r>
            <w:r>
              <w:rPr>
                <w:rFonts w:ascii="Courier New" w:hAnsi="Courier New"/>
                <w:sz w:val="19"/>
              </w:rPr>
              <w:t>exception</w:t>
            </w:r>
            <w:r>
              <w:rPr>
                <w:sz w:val="19"/>
              </w:rPr>
              <w:t xml:space="preserve"> intent, resolving a schema URL advertised since v1.0 but never published. Corrected the Appendix A quick-reference card, where Add on Restricted still read </w:t>
            </w:r>
            <w:r>
              <w:rPr>
                <w:i/>
                <w:sz w:val="19"/>
              </w:rPr>
              <w:t>Elevated Approval</w:t>
            </w:r>
            <w:r>
              <w:rPr>
                <w:sz w:val="19"/>
              </w:rPr>
              <w:t xml:space="preserve"> after the 1.4.0 correction to §3.1 — as did the §6.3 Add-operations table. Restated the §9.1, §10 and Appendix B notes that still described the §12.5 floor as Change and Delete only; it is all three.</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prepare; human executes</w:t>
            </w:r>
          </w:p>
        </w:tc>
      </w:tr>
    </w:tbl>
    <w:p/>
    <w:p>
      <w:r>
        <w:t>Note: Add operations against Restricted data are Prohibited for autonomous agents. Creating a resource that will hold Restricted data is itself a Restricted-tier mutation, so it sits behind the same §12.5 safety boundary as Change and Delete: the agent may prepare or recommend the change, but a human executes it.</w:t>
      </w:r>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Add, Change and Delete operations on Restricted data all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Add, Change and Delete operations against Restricted data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A/C/D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A/C/D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Add/Change/Delete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A/C/D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r>
        <w:t>An exception request is a declared, justified, time-bounded ask submitted for</w:t>
      </w:r>
    </w:p>
    <w:p>
      <w:r>
        <w:t>adjudication before it takes effect — which is precisely an RMACD Intent. It is</w:t>
      </w:r>
    </w:p>
    <w:p>
      <w:r>
        <w:t xml:space="preserve">therefore expressed as the </w:t>
      </w:r>
      <w:r>
        <w:rPr>
          <w:rFonts w:ascii="Courier New" w:hAnsi="Courier New"/>
          <w:sz w:val="19"/>
        </w:rPr>
        <w:t>exception</w:t>
      </w:r>
      <w:r>
        <w:t xml:space="preserve"> intent type rather than as a separate</w:t>
      </w:r>
    </w:p>
    <w:p>
      <w:r>
        <w:t>record shape, so the framework carries one request path rather than two. See</w:t>
      </w:r>
    </w:p>
    <w:p>
      <w:r>
        <w:rPr>
          <w:rFonts w:ascii="Courier New" w:hAnsi="Courier New"/>
          <w:sz w:val="19"/>
        </w:rPr>
        <w:t>docs/intent-specification.md</w:t>
      </w:r>
      <w:r>
        <w:t xml:space="preserve"> §7.4.</w:t>
      </w:r>
    </w:p>
    <w:p>
      <w:pPr>
        <w:spacing w:after="160"/>
        <w:ind w:left="360"/>
      </w:pPr>
      <w:r>
        <w:rPr>
          <w:rFonts w:ascii="Courier New" w:hAnsi="Courier New"/>
          <w:sz w:val="17"/>
        </w:rPr>
        <w:t>{</w:t>
        <w:br/>
      </w:r>
      <w:r>
        <w:rPr>
          <w:rFonts w:ascii="Courier New" w:hAnsi="Courier New"/>
          <w:sz w:val="17"/>
        </w:rPr>
        <w:t xml:space="preserve">  "$schema": "https://rmacd-framework.org/schema/v1/intent.json",</w:t>
        <w:br/>
      </w:r>
      <w:r>
        <w:rPr>
          <w:rFonts w:ascii="Courier New" w:hAnsi="Courier New"/>
          <w:sz w:val="17"/>
        </w:rPr>
        <w:t xml:space="preserve">  "intent_id": "int-exc-20260115-001",</w:t>
        <w:br/>
      </w:r>
      <w:r>
        <w:rPr>
          <w:rFonts w:ascii="Courier New" w:hAnsi="Courier New"/>
          <w:sz w:val="17"/>
        </w:rPr>
        <w:t xml:space="preserve">  "intent_type": "exception",</w:t>
        <w:br/>
      </w:r>
      <w:r>
        <w:rPr>
          <w:rFonts w:ascii="Courier New" w:hAnsi="Courier New"/>
          <w:sz w:val="17"/>
        </w:rPr>
        <w:t xml:space="preserve">  "submitted_at": "2026-01-15T10:15:00Z",</w:t>
        <w:br/>
      </w:r>
      <w:r>
        <w:rPr>
          <w:rFonts w:ascii="Courier New" w:hAnsi="Courier New"/>
          <w:sz w:val="17"/>
        </w:rPr>
        <w:t xml:space="preserve">  "actor": {</w:t>
        <w:br/>
      </w:r>
      <w:r>
        <w:rPr>
          <w:rFonts w:ascii="Courier New" w:hAnsi="Courier New"/>
          <w:sz w:val="17"/>
        </w:rPr>
        <w:t xml:space="preserve">    "kind": "agent",</w:t>
        <w:br/>
      </w:r>
      <w:r>
        <w:rPr>
          <w:rFonts w:ascii="Courier New" w:hAnsi="Courier New"/>
          <w:sz w:val="17"/>
        </w:rPr>
        <w:t xml:space="preserve">    "id": "devops-agent-007",</w:t>
        <w:br/>
      </w:r>
      <w:r>
        <w:rPr>
          <w:rFonts w:ascii="Courier New" w:hAnsi="Courier New"/>
          <w:sz w:val="17"/>
        </w:rPr>
        <w:t xml:space="preserve">    "authorization": "spiffe://corp/ns/agents/devops-agent-007",</w:t>
        <w:br/>
      </w:r>
      <w:r>
        <w:rPr>
          <w:rFonts w:ascii="Courier New" w:hAnsi="Courier New"/>
          <w:sz w:val="17"/>
        </w:rPr>
        <w:t xml:space="preserve">    "on_behalf_of": "dba-team@company.com"</w:t>
        <w:br/>
      </w:r>
      <w:r>
        <w:rPr>
          <w:rFonts w:ascii="Courier New" w:hAnsi="Courier New"/>
          <w:sz w:val="17"/>
        </w:rPr>
        <w:t xml:space="preserve">  },</w:t>
        <w:br/>
      </w:r>
      <w:r>
        <w:rPr>
          <w:rFonts w:ascii="Courier New" w:hAnsi="Courier New"/>
          <w:sz w:val="17"/>
        </w:rPr>
        <w:t xml:space="preserve">  "declaration": {</w:t>
        <w:br/>
      </w:r>
      <w:r>
        <w:rPr>
          <w:rFonts w:ascii="Courier New" w:hAnsi="Courier New"/>
          <w:sz w:val="17"/>
        </w:rPr>
        <w:t xml:space="preserve">    "operation": "A",</w:t>
        <w:br/>
      </w:r>
      <w:r>
        <w:rPr>
          <w:rFonts w:ascii="Courier New" w:hAnsi="Courier New"/>
          <w:sz w:val="17"/>
        </w:rPr>
        <w:t xml:space="preserve">    "target": "db://prod/payments/migration",</w:t>
        <w:br/>
      </w:r>
      <w:r>
        <w:rPr>
          <w:rFonts w:ascii="Courier New" w:hAnsi="Courier New"/>
          <w:sz w:val="17"/>
        </w:rPr>
        <w:t xml:space="preserve">    "data_classification": "confidential",</w:t>
        <w:br/>
      </w:r>
      <w:r>
        <w:rPr>
          <w:rFonts w:ascii="Courier New" w:hAnsi="Courier New"/>
          <w:sz w:val="17"/>
        </w:rPr>
        <w:t xml:space="preserve">    "environment": "production",</w:t>
        <w:br/>
      </w:r>
      <w:r>
        <w:rPr>
          <w:rFonts w:ascii="Courier New" w:hAnsi="Courier New"/>
          <w:sz w:val="17"/>
        </w:rPr>
        <w:t xml:space="preserve">    "reversibility": {</w:t>
        <w:br/>
      </w:r>
      <w:r>
        <w:rPr>
          <w:rFonts w:ascii="Courier New" w:hAnsi="Courier New"/>
          <w:sz w:val="17"/>
        </w:rPr>
        <w:t xml:space="preserve">      "rollback_declared": true,</w:t>
        <w:br/>
      </w:r>
      <w:r>
        <w:rPr>
          <w:rFonts w:ascii="Courier New" w:hAnsi="Courier New"/>
          <w:sz w:val="17"/>
        </w:rPr>
        <w:t xml:space="preserve">      "rollback_plan": "Restore from snapshot db-snap-20260115-pre-migration",</w:t>
        <w:br/>
      </w:r>
      <w:r>
        <w:rPr>
          <w:rFonts w:ascii="Courier New" w:hAnsi="Courier New"/>
          <w:sz w:val="17"/>
        </w:rPr>
        <w:t xml:space="preserve">      "attested_by": "dba-team@company.com"</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"expires_at": "2026-01-16T11:00:00Z",</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"requested",</w:t>
        <w:br/>
      </w:r>
      <w:r>
        <w:rPr>
          <w:rFonts w:ascii="Courier New" w:hAnsi="Courier New"/>
          <w:sz w:val="17"/>
        </w:rPr>
        <w:t xml:space="preserve">  "justification": "Emergency database migration required due to storage failure"</w:t>
        <w:br/>
      </w:r>
      <w:r>
        <w:rPr>
          <w:rFonts w:ascii="Courier New" w:hAnsi="Courier New"/>
          <w:sz w:val="17"/>
        </w:rPr>
        <w:t>}</w:t>
      </w:r>
    </w:p>
    <w:p>
      <w:r>
        <w:t>Two points of shape are deliberate. The **approval fields are absent from the</w:t>
      </w:r>
    </w:p>
    <w:p>
      <w:r>
        <w:t>request**: who approved, when, and from what effective time are recorded as the</w:t>
      </w:r>
    </w:p>
    <w:p>
      <w:r>
        <w:rPr>
          <w:i/>
        </w:rPr>
        <w:t>disposition</w:t>
      </w:r>
      <w:r>
        <w:t xml:space="preserve"> on the adjudication's decision record (</w:t>
      </w:r>
      <w:r>
        <w:rPr>
          <w:rFonts w:ascii="Courier New" w:hAnsi="Courier New"/>
          <w:sz w:val="19"/>
        </w:rPr>
        <w:t>intent-decision.schema.json</w:t>
      </w:r>
      <w:r>
        <w:t>),</w:t>
      </w:r>
    </w:p>
    <w:p>
      <w:r>
        <w:t>not asserted by the requester — an actor declares facts and never records its own</w:t>
      </w:r>
    </w:p>
    <w:p>
      <w:r>
        <w:t xml:space="preserve">approval. And </w:t>
      </w:r>
      <w:r>
        <w:rPr>
          <w:rFonts w:ascii="Courier New" w:hAnsi="Courier New"/>
          <w:sz w:val="19"/>
        </w:rPr>
        <w:t>restricted</w:t>
      </w:r>
      <w:r>
        <w:t xml:space="preserve"> is capped at </w:t>
      </w:r>
      <w:r>
        <w:rPr>
          <w:rFonts w:ascii="Courier New" w:hAnsi="Courier New"/>
          <w:sz w:val="19"/>
        </w:rPr>
        <w:t>R</w:t>
      </w:r>
      <w:r>
        <w:t xml:space="preserve"> and </w:t>
      </w:r>
      <w:r>
        <w:rPr>
          <w:rFonts w:ascii="Courier New" w:hAnsi="Courier New"/>
          <w:sz w:val="19"/>
        </w:rPr>
        <w:t>M</w:t>
      </w:r>
      <w:r>
        <w:t xml:space="preserve"> by the schema itself, so the</w:t>
      </w:r>
    </w:p>
    <w:p>
      <w:r>
        <w:t>§12.5 prohibition below is enforced at authoring time and not only by process.</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A/C/D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ListBullet"/>
      </w:pPr>
      <w:r>
        <w:rPr>
          <w:b/>
        </w:rPr>
        <w:t>`docs/intents.md`</w:t>
      </w:r>
      <w:r>
        <w:t xml:space="preserve"> (§12.4) — the intent model: adjudication as a second,</w:t>
      </w:r>
    </w:p>
    <w:p>
      <w:r>
        <w:t>out-of-band enforcement mode complementing runtime interception; the intent</w:t>
      </w:r>
    </w:p>
    <w:p>
      <w:r>
        <w:t>ladder, the production and record planes, the type registry, and how</w:t>
      </w:r>
    </w:p>
    <w:p>
      <w:r>
        <w:t>likelihood escalates the §3.1 matrix without introducing a second one.</w:t>
      </w:r>
    </w:p>
    <w:p>
      <w:pPr>
        <w:pStyle w:val="ListBullet"/>
      </w:pPr>
      <w:r>
        <w:rPr>
          <w:b/>
        </w:rPr>
        <w:t>`docs/intent-specification.md`</w:t>
      </w:r>
      <w:r>
        <w:t xml:space="preserve"> — the normative companion to the above:</w:t>
      </w:r>
    </w:p>
    <w:p>
      <w:r>
        <w:t>the intent envelope, the actor model, the adjudication contract, grants and</w:t>
      </w:r>
    </w:p>
    <w:p>
      <w:r>
        <w:t>campaigns, the decision record, and conformance requirements.</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