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Unified Developer Platform</w:t>
      </w:r>
    </w:p>
    <w:p>
      <w:pPr>
        <w:spacing w:after="120"/>
        <w:jc w:val="center"/>
      </w:pPr>
      <w:r>
        <w:rPr>
          <w:rFonts w:ascii="Arial" w:cs="Arial" w:eastAsia="Arial" w:hAnsi="Arial"/>
          <w:color w:val="2E75B6"/>
          <w:sz w:val="36"/>
          <w:szCs w:val="36"/>
        </w:rPr>
        <w:t xml:space="preserve">High-Level Architecture &amp; Design</w:t>
      </w:r>
    </w:p>
    <w:p>
      <w:pPr>
        <w:pBdr>
          <w:bottom w:val="single" w:color="2E75B6" w:sz="6" w:space="1"/>
        </w:pBdr>
        <w:spacing w:after="600"/>
        <w:jc w:val="center"/>
      </w:pPr>
      <w:r>
        <w:rPr>
          <w:sz w:val="12"/>
          <w:szCs w:val="12"/>
        </w:rPr>
        <w:t xml:space="preserve"> </w:t>
      </w:r>
    </w:p>
    <w:p>
      <w:pPr>
        <w:spacing w:after="120"/>
        <w:jc w:val="center"/>
      </w:pPr>
      <w:r>
        <w:rPr>
          <w:color w:val="666666"/>
          <w:sz w:val="24"/>
          <w:szCs w:val="24"/>
        </w:rPr>
        <w:t xml:space="preserve">Part 1: Platform Architecture (MFE + Data Model)</w:t>
      </w:r>
    </w:p>
    <w:p>
      <w:pPr>
        <w:spacing w:after="400"/>
        <w:jc w:val="center"/>
      </w:pPr>
      <w:r>
        <w:rPr>
          <w:color w:val="666666"/>
          <w:sz w:val="24"/>
          <w:szCs w:val="24"/>
        </w:rPr>
        <w:t xml:space="preserve">Part 2: Harness Custom Plugins V2 vs Enterprise MFE Analysis</w:t>
      </w:r>
    </w:p>
    <w:p>
      <w:pPr>
        <w:spacing w:after="120"/>
        <w:jc w:val="center"/>
      </w:pPr>
      <w:r>
        <w:rPr>
          <w:b/>
          <w:bCs/>
          <w:color w:val="999999"/>
          <w:sz w:val="22"/>
          <w:szCs w:val="22"/>
        </w:rPr>
        <w:t xml:space="preserve">CONFIDENTIAL</w:t>
      </w:r>
    </w:p>
    <w:p>
      <w:pPr>
        <w:jc w:val="center"/>
      </w:pPr>
      <w:r>
        <w:rPr>
          <w:color w:val="999999"/>
          <w:sz w:val="22"/>
          <w:szCs w:val="22"/>
        </w:rPr>
        <w:t xml:space="preserve">June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Unified Developer Platform Architecture</w:t>
      </w:r>
    </w:p>
    <w:p>
      <w:pPr>
        <w:pStyle w:val="Heading2"/>
      </w:pPr>
      <w:r>
        <w:t xml:space="preserve">Problem Statement</w:t>
      </w:r>
    </w:p>
    <w:p>
      <w:pPr>
        <w:spacing w:after="120"/>
      </w:pPr>
      <w:r>
        <w:t xml:space="preserve">The organization requires a central platform UI that serves as a single entry point for internal developers to consume onboarding experiences from multiple platform teams. Today, each team (IDP/CI-CD, Cloud Engineering, Streaming/Kafka, Data, API Gateway) operates independent tooling and onboarding workflows, creating fragmented developer experiences, duplicated context collection, and inconsistent governance.</w:t>
      </w:r>
    </w:p>
    <w:p>
      <w:pPr>
        <w:spacing w:after="120"/>
      </w:pPr>
      <w:r>
        <w:t xml:space="preserve">Key requirements:</w:t>
      </w:r>
    </w:p>
    <w:p>
      <w:pPr>
        <w:pStyle w:val="ListParagraph"/>
        <w:numPr>
          <w:ilvl w:val="0"/>
          <w:numId w:val="2"/>
        </w:numPr>
        <w:spacing w:after="120"/>
      </w:pPr>
      <w:r>
        <w:rPr>
          <w:b/>
          <w:bCs/>
        </w:rPr>
        <w:t xml:space="preserve">Multi-team extensibility: </w:t>
      </w:r>
      <w:r>
        <w:t xml:space="preserve">Each platform team must be able to independently build, deploy, and own their onboarding experience without coupling to other teams.</w:t>
      </w:r>
    </w:p>
    <w:p>
      <w:pPr>
        <w:pStyle w:val="ListParagraph"/>
        <w:numPr>
          <w:ilvl w:val="0"/>
          <w:numId w:val="2"/>
        </w:numPr>
        <w:spacing w:after="120"/>
      </w:pPr>
      <w:r>
        <w:rPr>
          <w:b/>
          <w:bCs/>
        </w:rPr>
        <w:t xml:space="preserve">Shared contextual data: </w:t>
      </w:r>
      <w:r>
        <w:t xml:space="preserve">Common entities (organization, service, environment) must flow across domain boundaries so that the CI/CD experience knows about the AWS account and the Kafka topics associated with a service.</w:t>
      </w:r>
    </w:p>
    <w:p>
      <w:pPr>
        <w:pStyle w:val="ListParagraph"/>
        <w:numPr>
          <w:ilvl w:val="0"/>
          <w:numId w:val="2"/>
        </w:numPr>
        <w:spacing w:after="120"/>
      </w:pPr>
      <w:r>
        <w:rPr>
          <w:b/>
          <w:bCs/>
        </w:rPr>
        <w:t xml:space="preserve">Harness integration: </w:t>
      </w:r>
      <w:r>
        <w:t xml:space="preserve">Harness is the backbone for CI, CD, Account Creation, IAM, and IACM. The platform must integrate deeply with Harness APIs and workflows without being locked into Harness as the sole UI layer.</w:t>
      </w:r>
    </w:p>
    <w:p>
      <w:pPr>
        <w:pStyle w:val="ListParagraph"/>
        <w:numPr>
          <w:ilvl w:val="0"/>
          <w:numId w:val="2"/>
        </w:numPr>
        <w:spacing w:after="120"/>
      </w:pPr>
      <w:r>
        <w:rPr>
          <w:b/>
          <w:bCs/>
        </w:rPr>
        <w:t xml:space="preserve">Enterprise-grade: </w:t>
      </w:r>
      <w:r>
        <w:t xml:space="preserve">RBAC, audit trails, consistent design system, SSO, observability, and independent deployability per team.</w:t>
      </w:r>
    </w:p>
    <w:p>
      <w:pPr>
        <w:pStyle w:val="Heading2"/>
      </w:pPr>
      <w:r>
        <w:t xml:space="preserve">Micro Frontend Architecture</w:t>
      </w:r>
    </w:p>
    <w:p>
      <w:pPr>
        <w:spacing w:after="120"/>
      </w:pPr>
      <w:r>
        <w:t xml:space="preserve">Micro frontends (MFE) are the recommended architecture pattern for this platform. The decision is organizational, not purely technical: five or more platform teams, each with different release cadences and domain expertise, need to ship independently without coupling to a shared codebase.</w:t>
      </w:r>
    </w:p>
    <w:p>
      <w:pPr>
        <w:pStyle w:val="Heading3"/>
      </w:pPr>
      <w:r>
        <w:t xml:space="preserve">Architecture layers</w:t>
      </w:r>
    </w:p>
    <w:p>
      <w:pPr>
        <w:spacing w:after="120"/>
      </w:pPr>
      <w:r>
        <w:t xml:space="preserve">The platform consists of four logical layers, each with distinct ownership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Ownership</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Shell (host)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Authentication/SSO, top-level routing and navigation, shared design system and component library, global context provider (currently selected org/service/environment), feature flag integration, Module Federation runtime, event bus for cross-MFE communication.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UI team</w:t>
            </w:r>
          </w:p>
        </w:tc>
      </w:tr>
      <w:tr>
        <w:tc>
          <w:tcPr>
            <w:tcW w:type="dxa" w:w="2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MFE remotes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Each domain team builds their onboarding experience as a federated remote module. The CI/CD MFE handles pipeline onboarding, the Cloud MFE handles account vending, the Streaming MFE handles Kafka topic creation, etc. Each remote is independently deployable.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Respective domain teams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Shared context layer (BFF)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Entity resolution across domains, cross-domain context propagation, centralized RBAC enforcement, event brokering. Implemented as a Backend-for-Frontend (BFF) or GraphQL federation layer.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team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backends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Harness APIs (CI, CD, IACM, IAM), domain-specific services (Kafka management, AWS account vending, API gateway admin), and systems of record (CMDB, identity).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Respective domain teams + platform</w:t>
            </w:r>
          </w:p>
        </w:tc>
      </w:tr>
    </w:tbl>
    <w:p>
      <w:pPr>
        <w:spacing w:after="200"/>
      </w:pPr>
    </w:p>
    <w:p>
      <w:pPr>
        <w:pStyle w:val="Heading3"/>
      </w:pPr>
      <w:r>
        <w:t xml:space="preserve">Module Federation as the composition technique</w:t>
      </w:r>
    </w:p>
    <w:p>
      <w:pPr>
        <w:spacing w:after="120"/>
      </w:pPr>
      <w:r>
        <w:t xml:space="preserve">Module Federation (Webpack 5 or the Vite-compatible plugin) is the recommended composition technique over iframes or single-spa. It provides runtime integration without full page reloads, shared singletons for React and the design system (avoiding bundle bloat), and independent deployment per remote. Each domain team publishes a remoteEntry.js to the internal CDN, and the shell loads it dynamically based on route.</w:t>
      </w:r>
    </w:p>
    <w:p>
      <w:pPr>
        <w:pStyle w:val="Heading3"/>
      </w:pPr>
      <w:r>
        <w:t xml:space="preserve">Shell-to-remote contract (MFE manifest)</w:t>
      </w:r>
    </w:p>
    <w:p>
      <w:pPr>
        <w:spacing w:after="120"/>
      </w:pPr>
      <w:r>
        <w:t xml:space="preserve">The most critical design decision is the contract between the shell and each remote. Every MFE must declare a manifest that the shell consumes at runtime. This manifest specifies the MFE identifier and owning team, the route prefix it claims, the context it requires from the shell (e.g., organization, service), the context it contributes back (e.g., pipeline), and the CDN entrypoint URL. This manifest is the API contract. It tells the shell what to mount, what shared context to inject, and what context the MFE contributes.</w:t>
      </w:r>
    </w:p>
    <w:p>
      <w:pPr>
        <w:pStyle w:val="Heading3"/>
      </w:pPr>
      <w:r>
        <w:t xml:space="preserve">Cross-MFE context sharing</w:t>
      </w:r>
    </w:p>
    <w:p>
      <w:pPr>
        <w:spacing w:after="120"/>
      </w:pPr>
      <w:r>
        <w:t xml:space="preserve">Context sharing happens through a Context Bus that lives in the shell. When a developer selects a service in the CI/CD MFE, that selection propagates through the bus so the Cloud Accounts MFE can show the associated AWS account and the Streaming MFE can show the Kafka topics for that service. The bus shares references (service ID, org ID, environment) rather than payloads (full pipeline configs, topic details). Each MFE resolves its own domain data from its own backend via the BFF.</w:t>
      </w:r>
    </w:p>
    <w:p>
      <w:pPr>
        <w:pStyle w:val="Heading3"/>
      </w:pPr>
      <w:r>
        <w:t xml:space="preserve">Backend-for-Frontend (BFF) / GraphQL federation</w:t>
      </w:r>
    </w:p>
    <w:p>
      <w:pPr>
        <w:spacing w:after="120"/>
      </w:pPr>
      <w:r>
        <w:t xml:space="preserve">A BFF layer sits between the MFEs and backend services. Each MFE should not be making direct calls to Harness APIs, CMDB, and each other's backends. The BFF handles entity resolution (given a service ID, resolve its pipelines from Harness, its AWS account from Cloud, its Kafka topics from Streaming), enforces RBAC centrally, and provides a single API surface that the context bus populates from.</w:t>
      </w:r>
    </w:p>
    <w:p>
      <w:r>
        <w:br w:type="page"/>
      </w:r>
    </w:p>
    <w:p>
      <w:pPr>
        <w:pStyle w:val="Heading2"/>
      </w:pPr>
      <w:r>
        <w:t xml:space="preserve">Data Model Design</w:t>
      </w:r>
    </w:p>
    <w:p>
      <w:pPr>
        <w:pStyle w:val="Heading3"/>
      </w:pPr>
      <w:r>
        <w:t xml:space="preserve">Harness entity model assessment</w:t>
      </w:r>
    </w:p>
    <w:p>
      <w:pPr>
        <w:spacing w:after="120"/>
      </w:pPr>
      <w:r>
        <w:t xml:space="preserve">Harness IDP 2.0 has a well-designed entity model rooted in the Backstage system model. It supports entity kinds including Component, API, Resource, System, and Group, with a scope hierarchy of Account, Organization, and Project. Systems provide many-to-many relationships where components can belong to multiple systems. When a Component includes the spec.system field, Harness automatically updates the System's relations metadata. This is well-designed for a software catalog.</w:t>
      </w:r>
    </w:p>
    <w:p>
      <w:pPr>
        <w:spacing w:after="120"/>
      </w:pPr>
      <w:r>
        <w:rPr>
          <w:b/>
          <w:bCs/>
        </w:rPr>
        <w:t xml:space="preserve">However, this platform's requirements exceed a software catalog. </w:t>
      </w:r>
      <w:r>
        <w:t xml:space="preserve">The platform must model not just what software exists, but what a developer can do, what resources they need, and how those resources relate across domain boundaries.</w:t>
      </w:r>
    </w:p>
    <w:p>
      <w:pPr>
        <w:pStyle w:val="Heading3"/>
      </w:pPr>
      <w:r>
        <w:t xml:space="preserve">Recommendation: federated entity graph</w:t>
      </w:r>
    </w:p>
    <w:p>
      <w:pPr>
        <w:spacing w:after="120"/>
      </w:pPr>
      <w:r>
        <w:t xml:space="preserve">Use Harness's entity model as one domain within a larger federated model, not as the universal model. The core entities in the platform catalog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of truth</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Organization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unit or team. Maps directly to Harness Org.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CMDB / Identity Provider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Product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 related services under a business capability. Broader than Harness System because it aggregates across domains.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CMDB / Platform catalog</w:t>
            </w:r>
          </w:p>
        </w:tc>
      </w:tr>
      <w:tr>
        <w:tc>
          <w:tcPr>
            <w:tcW w:type="dxa" w:w="2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Service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atomic unit developers care about. The join point across all domains: has a pipeline, needs an AWS account, has Kafka topics, exposes an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CMDB / Service registry</w:t>
            </w:r>
          </w:p>
        </w:tc>
      </w:tr>
      <w:tr>
        <w:tc>
          <w:tcPr>
            <w:tcW w:type="dxa" w:w="2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staging, production. Critical because account vending, topic provisioning, and pipeline config all vary by environment.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catalog</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Resource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Anything a service consumes: AWS account, Kafka topic, API route, database, Harness pipeline. Each domain team owns the schema for their resource types.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team backends</w:t>
            </w:r>
          </w:p>
        </w:tc>
      </w:tr>
    </w:tbl>
    <w:p>
      <w:pPr>
        <w:spacing w:after="200"/>
      </w:pPr>
    </w:p>
    <w:p>
      <w:pPr>
        <w:pStyle w:val="Heading3"/>
      </w:pPr>
      <w:r>
        <w:t xml:space="preserve">Why not adopt Harness's model directly</w:t>
      </w:r>
    </w:p>
    <w:p>
      <w:pPr>
        <w:spacing w:after="120"/>
      </w:pPr>
      <w:r>
        <w:rPr>
          <w:b/>
          <w:bCs/>
        </w:rPr>
        <w:t xml:space="preserve">Operational hierarchy vs. domain model: </w:t>
      </w:r>
      <w:r>
        <w:t xml:space="preserve">Harness's Account, Organization, and Project hierarchy is an operational hierarchy. The platform catalog needs to model relationships that span Harness projects. A service in Harness Project A might need a Kafka topic managed in a completely different system.</w:t>
      </w:r>
    </w:p>
    <w:p>
      <w:pPr>
        <w:spacing w:after="120"/>
      </w:pPr>
      <w:r>
        <w:rPr>
          <w:b/>
          <w:bCs/>
        </w:rPr>
        <w:t xml:space="preserve">Software-catalog-centric kinds: </w:t>
      </w:r>
      <w:r>
        <w:t xml:space="preserve">Harness kinds (Component, API, Resource) work for software catalog use cases. However, forcing Kafka topics, AWS accounts, and API gateway routes into the Resource kind obscures their fundamentally different lifecycle semantics.</w:t>
      </w:r>
    </w:p>
    <w:p>
      <w:pPr>
        <w:spacing w:after="120"/>
      </w:pPr>
      <w:r>
        <w:rPr>
          <w:b/>
          <w:bCs/>
        </w:rPr>
        <w:t xml:space="preserve">Domain ownership of schema extensions: </w:t>
      </w:r>
      <w:r>
        <w:t xml:space="preserve">Each domain team knows what attributes their resources have. If everything must conform to a single Harness YAML specification, changes require cross-team coordination and create a bottleneck.</w:t>
      </w:r>
    </w:p>
    <w:p>
      <w:pPr>
        <w:pStyle w:val="Heading3"/>
      </w:pPr>
      <w:r>
        <w:t xml:space="preserve">Where Harness's model should be adopted</w:t>
      </w:r>
    </w:p>
    <w:p>
      <w:pPr>
        <w:spacing w:after="120"/>
      </w:pPr>
      <w:r>
        <w:t xml:space="preserve">For the CI/CD and IACM domains specifically, lean fully into Harness's entity model. Harness IDP Workflows provide self-service automation that integrates directly with Harness Pipelines, ServiceNow, Jira, and Slack. For service onboarding that involves creating repos, provisioning pipelines, and registering catalog entries, Harness's workflow engine is production-grade. Use it as the orchestration backend for the CI/CD MFE, and have it publish events to the context bus when new entities are created.</w:t>
      </w:r>
    </w:p>
    <w:p>
      <w:pPr>
        <w:pStyle w:val="Heading3"/>
      </w:pPr>
      <w:r>
        <w:t xml:space="preserve">The federated pattern</w:t>
      </w:r>
    </w:p>
    <w:p>
      <w:pPr>
        <w:spacing w:after="120"/>
      </w:pPr>
      <w:r>
        <w:t xml:space="preserve">Maintain a thin, common entity registry (the five core entities) in a purpose-built catalog service. Each domain team registers their domain-specific resource types and owns the schema for those types. The BFF/GraphQL layer federates across these: when querying a service, it resolves Harness pipelines from Harness's API, Kafka topics from the Streaming team's API, and AWS accounts from the Cloud team's API. This provides a unified view without a monolithic data store.</w:t>
      </w:r>
    </w:p>
    <w:p>
      <w:pPr>
        <w:spacing w:after="120"/>
      </w:pPr>
      <w:r>
        <w:t xml:space="preserve">Harness's Catalog Ingestion API supports injecting custom metadata into entities from external sources, so data can be pushed into Harness's catalog from other domain services if Harness IDP is desired as one view. However, it should not serve as the single source of truth for cross-domain relationships.</w:t>
      </w:r>
    </w:p>
    <w:p>
      <w:r>
        <w:br w:type="page"/>
      </w:r>
    </w:p>
    <w:p>
      <w:pPr>
        <w:pStyle w:val="Heading2"/>
      </w:pPr>
      <w:r>
        <w:t xml:space="preserve">Governing Design Principles</w:t>
      </w:r>
    </w:p>
    <w:p>
      <w:pPr>
        <w:pStyle w:val="ListParagraph"/>
        <w:numPr>
          <w:ilvl w:val="0"/>
          <w:numId w:val="3"/>
        </w:numPr>
        <w:spacing w:after="120"/>
      </w:pPr>
      <w:r>
        <w:rPr>
          <w:b/>
          <w:bCs/>
        </w:rPr>
        <w:t xml:space="preserve">Principle 1: Shell owns identity, MFEs own experience. </w:t>
      </w:r>
      <w:r>
        <w:t xml:space="preserve">The shell handles auth, navigation, and the global entity context. Each MFE owns its complete domain experience. No MFE reaches into another MFE's UI.</w:t>
      </w:r>
    </w:p>
    <w:p>
      <w:pPr>
        <w:pStyle w:val="ListParagraph"/>
        <w:numPr>
          <w:ilvl w:val="0"/>
          <w:numId w:val="3"/>
        </w:numPr>
        <w:spacing w:after="120"/>
      </w:pPr>
      <w:r>
        <w:rPr>
          <w:b/>
          <w:bCs/>
        </w:rPr>
        <w:t xml:space="preserve">Principle 2: Shared context, not shared data. </w:t>
      </w:r>
      <w:r>
        <w:t xml:space="preserve">The Context Bus shares references (service ID, org ID, environment) not payloads. Each MFE resolves its own domain data from its own backend.</w:t>
      </w:r>
    </w:p>
    <w:p>
      <w:pPr>
        <w:pStyle w:val="ListParagraph"/>
        <w:numPr>
          <w:ilvl w:val="0"/>
          <w:numId w:val="3"/>
        </w:numPr>
        <w:spacing w:after="120"/>
      </w:pPr>
      <w:r>
        <w:rPr>
          <w:b/>
          <w:bCs/>
        </w:rPr>
        <w:t xml:space="preserve">Principle 3: Harness is a first-class backend, not the platform model. </w:t>
      </w:r>
      <w:r>
        <w:t xml:space="preserve">Use Harness APIs heavily for pipelines, IACM, workflows, and the software catalog. Model the cross-domain entity graph independently.</w:t>
      </w:r>
    </w:p>
    <w:p>
      <w:pPr>
        <w:pStyle w:val="ListParagraph"/>
        <w:numPr>
          <w:ilvl w:val="0"/>
          <w:numId w:val="3"/>
        </w:numPr>
        <w:spacing w:after="120"/>
      </w:pPr>
      <w:r>
        <w:rPr>
          <w:b/>
          <w:bCs/>
        </w:rPr>
        <w:t xml:space="preserve">Principle 4: CMDB as the entity anchor. </w:t>
      </w:r>
      <w:r>
        <w:t xml:space="preserve">Use CMDB as the source of truth for core entities (org, product, service, environment). The platform catalog syncs from CMDB and enriches with domain-specific data.</w:t>
      </w:r>
    </w:p>
    <w:p>
      <w:pPr>
        <w:pStyle w:val="ListParagraph"/>
        <w:numPr>
          <w:ilvl w:val="0"/>
          <w:numId w:val="3"/>
        </w:numPr>
        <w:spacing w:after="120"/>
      </w:pPr>
      <w:r>
        <w:rPr>
          <w:b/>
          <w:bCs/>
        </w:rPr>
        <w:t xml:space="preserve">Principle 5: Each team owns their workflow definition, the platform owns the framework. </w:t>
      </w:r>
      <w:r>
        <w:t xml:space="preserve">The platform team provides the MFE SDK, manifest format, design system, and context bus. Domain teams build their onboarding workflows using whatever backend they need.</w:t>
      </w:r>
    </w:p>
    <w:p>
      <w:r>
        <w:br w:type="page"/>
      </w:r>
    </w:p>
    <w:p>
      <w:pPr>
        <w:pStyle w:val="Heading1"/>
      </w:pPr>
      <w:r>
        <w:t xml:space="preserve">Part 2: Harness Custom Plugins V2 vs Enterprise MFE</w:t>
      </w:r>
    </w:p>
    <w:p>
      <w:pPr>
        <w:pStyle w:val="Heading2"/>
      </w:pPr>
      <w:r>
        <w:t xml:space="preserve">Overview of Harness Custom Plugins V2</w:t>
      </w:r>
    </w:p>
    <w:p>
      <w:pPr>
        <w:spacing w:after="120"/>
      </w:pPr>
      <w:r>
        <w:t xml:space="preserve">Custom Plugins V2 is Harness's latest approach to extensibility within Harness IDP. It is a meaningful improvement over V1 (legacy Backstage plugins), eliminating the most painful constraint of V1: the 30-minute IDP image rebuild required whenever a plugin was enabled.</w:t>
      </w:r>
    </w:p>
    <w:p>
      <w:pPr>
        <w:spacing w:after="120"/>
      </w:pPr>
      <w:r>
        <w:t xml:space="preserve">In V2, developers build a React-based application using the @harnessio/idp-plugins-sdk package, compile it into a self-contained HTML file, and upload it directly to IDP. The SDK handles communication between the plugin and the IDP host, provides entity context, and proxies all outbound API calls through the configured Backend Proxy Plugin so the plugin never handles secrets or makes direct network requests.</w:t>
      </w:r>
    </w:p>
    <w:p>
      <w:pPr>
        <w:spacing w:after="120"/>
      </w:pPr>
      <w:r>
        <w:t xml:space="preserve">Key V2 capabilities include a local dev server with live preview (Dev Mode at localhost:5173), the usePluginContext() hook for accessing current catalog entity metadata, PluginAPI.proxyFetch() for authenticated API calls through the Harness proxy, and placement as either a Tab or a SideNav item within the Harness IDP layout.</w:t>
      </w:r>
    </w:p>
    <w:p>
      <w:pPr>
        <w:spacing w:after="120"/>
      </w:pPr>
      <w:r>
        <w:rPr>
          <w:b/>
          <w:bCs/>
        </w:rPr>
        <w:t xml:space="preserve">Current maturity: </w:t>
      </w:r>
      <w:r>
        <w:t xml:space="preserve">V2 is in Beta, available behind the IDP_ENABLE_CUSTOM_PLUGINS_V2 feature flag.</w:t>
      </w:r>
    </w:p>
    <w:p>
      <w:pPr>
        <w:pStyle w:val="Heading2"/>
      </w:pPr>
      <w:r>
        <w:t xml:space="preserve">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Harness Custom Plugins V2</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 MFE (own build)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single HTML file to Harness SaaS. No independent versioning or rollback.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CDN-hosted remoteEntry.js per MFE. Full CI/CD, canary releases, instant rollback.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 / API access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CSP-blocked. All calls must go through PluginAPI.proxyFetch() via Backend Proxy Plugin. Every endpoint requires admin pre-configuration.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network access within your infrastructure. Direct calls to internal APIs, Harness APIs, CMDB,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Cross-module communication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context only (read-only, single entity). No mechanism for Plugin A to notify Plugin B of state changes.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context bus with typed events. Real-time cross-MFE context propagation.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UX / design system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Sandboxed within Harness UI. Must conform to Harness UX patterns. Limited control over layout.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Own design system, component library, theming, responsive behavior.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Placement options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or SideNav item only. Card placement is not currently supported.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full page, dashboard card, inline widget, modal, panel, notification.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support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Frontend-only. No custom backend logic. Harness does not support custom backends as part of plugins.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 BFF/GraphQL layer, custom backend services, database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independence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upload requires IDP Admin access. All proxy config is centralized.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team owns their MFE end-to-end: build, deploy, test, monitor.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Maturity / 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behind feature flag. SDK contract may change. Vendor dependency on Harness runtime.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Proven pattern at scale (Spotify, Zalando, DAZN). Module Federation is stable in Webpack 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 to first value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for simple catalog enrichment. Clone boilerplate, build, upload.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initial investment: shell setup, design system, CI/CD pipelines, CDN.</w:t>
            </w:r>
          </w:p>
        </w:tc>
      </w:tr>
    </w:tbl>
    <w:p>
      <w:pPr>
        <w:spacing w:after="200"/>
      </w:pPr>
    </w:p>
    <w:p>
      <w:pPr>
        <w:pStyle w:val="Heading2"/>
      </w:pPr>
      <w:r>
        <w:t xml:space="preserve">Five Constraints That Rule Out V2 as the Primary Platform UI</w:t>
      </w:r>
    </w:p>
    <w:p>
      <w:pPr>
        <w:pStyle w:val="Heading3"/>
      </w:pPr>
      <w:r>
        <w:t xml:space="preserve">Constraint 1: CSP-locked networking</w:t>
      </w:r>
    </w:p>
    <w:p>
      <w:pPr>
        <w:spacing w:after="120"/>
      </w:pPr>
      <w:r>
        <w:t xml:space="preserve">Plugins cannot make direct network requests; the production environment blocks them via Content Security Policy. Every API call must go through PluginAPI.proxyFetch(), which routes through the Harness Backend Proxy Plugin. For five domain teams hitting dozens of internal APIs (Kafka management, AWS account vending, CMDB, API gateway admin), this creates an operational bottleneck. Every new endpoint requires a Harness admin to configure the proxy.</w:t>
      </w:r>
    </w:p>
    <w:p>
      <w:pPr>
        <w:pStyle w:val="Heading3"/>
      </w:pPr>
      <w:r>
        <w:t xml:space="preserve">Constraint 2: No cross-plugin communication</w:t>
      </w:r>
    </w:p>
    <w:p>
      <w:pPr>
        <w:spacing w:after="120"/>
      </w:pPr>
      <w:r>
        <w:t xml:space="preserve">The SDK provides usePluginContext() which returns the current catalog entity metadata (name, kind, owner, annotations). There is no mechanism for Plugin A (CI/CD onboarding) to tell Plugin B (Cloud account vending) that the developer just selected service X. In the target architecture, cross-domain context sharing is the core value proposition.</w:t>
      </w:r>
    </w:p>
    <w:p>
      <w:pPr>
        <w:pStyle w:val="Heading3"/>
      </w:pPr>
      <w:r>
        <w:t xml:space="preserve">Constraint 3: Limited placement and composition</w:t>
      </w:r>
    </w:p>
    <w:p>
      <w:pPr>
        <w:spacing w:after="120"/>
      </w:pPr>
      <w:r>
        <w:t xml:space="preserve">Custom Plugins V2 can be placed as a Tab or a SideNav item. Card placement is not currently supported. The platform needs richer composition: dashboard cards, inline widgets within another team's page, modal-based quick actions, notification panels.</w:t>
      </w:r>
    </w:p>
    <w:p>
      <w:pPr>
        <w:pStyle w:val="Heading3"/>
      </w:pPr>
      <w:r>
        <w:t xml:space="preserve">Constraint 4: Beta maturity with vendor dependency</w:t>
      </w:r>
    </w:p>
    <w:p>
      <w:pPr>
        <w:spacing w:after="120"/>
      </w:pPr>
      <w:r>
        <w:t xml:space="preserve">Custom Plugins V2 is available behind a feature flag (IDP_ENABLE_CUSTOM_PLUGINS_V2). Building an enterprise platform on a beta feature introduces risk. If Harness changes the SDK contract, deprecates V2 for V3, or adjusts CSP rules, the entire platform UI is affected with no recourse.</w:t>
      </w:r>
    </w:p>
    <w:p>
      <w:pPr>
        <w:pStyle w:val="Heading3"/>
      </w:pPr>
      <w:r>
        <w:t xml:space="preserve">Constraint 5: Single-tenant deployment model</w:t>
      </w:r>
    </w:p>
    <w:p>
      <w:pPr>
        <w:spacing w:after="120"/>
      </w:pPr>
      <w:r>
        <w:t xml:space="preserve">Each plugin is a monolithic HTML file uploaded to Harness. There is no independent deployment per team, no canary releases, no A/B testing, and no rollback to a previous version without re-uploading. For five domain teams shipping independently, this model reintroduces the coordination overhead that MFEs are designed to eliminate.</w:t>
      </w:r>
    </w:p>
    <w:p>
      <w:r>
        <w:br w:type="page"/>
      </w:r>
    </w:p>
    <w:p>
      <w:pPr>
        <w:pStyle w:val="Heading2"/>
      </w:pPr>
      <w:r>
        <w:t xml:space="preserve">Where Harness V2 Plugins Genuinely Shine</w:t>
      </w:r>
    </w:p>
    <w:p>
      <w:pPr>
        <w:spacing w:after="120"/>
      </w:pPr>
      <w:r>
        <w:t xml:space="preserve">V2 plugins are excellent for a specific category of work:</w:t>
      </w:r>
    </w:p>
    <w:p>
      <w:pPr>
        <w:pStyle w:val="ListParagraph"/>
        <w:numPr>
          <w:ilvl w:val="0"/>
          <w:numId w:val="2"/>
        </w:numPr>
        <w:spacing w:after="120"/>
      </w:pPr>
      <w:r>
        <w:rPr>
          <w:b/>
          <w:bCs/>
        </w:rPr>
        <w:t xml:space="preserve">Catalog enrichment: </w:t>
      </w:r>
      <w:r>
        <w:t xml:space="preserve">Showing domain-specific metadata on an entity page. The Streaming team could build a V2 plugin displaying Kafka topic details (partitions, consumer groups, lag) as a tab on a service's catalog page. The Cloud team could show AWS account details and cost attribution.</w:t>
      </w:r>
    </w:p>
    <w:p>
      <w:pPr>
        <w:pStyle w:val="ListParagraph"/>
        <w:numPr>
          <w:ilvl w:val="0"/>
          <w:numId w:val="2"/>
        </w:numPr>
        <w:spacing w:after="120"/>
      </w:pPr>
      <w:r>
        <w:rPr>
          <w:b/>
          <w:bCs/>
        </w:rPr>
        <w:t xml:space="preserve">Scorecard extensions: </w:t>
      </w:r>
      <w:r>
        <w:t xml:space="preserve">Custom visualizations that pull from external systems to enrich Harness scorecards. Security posture widgets, cost dashboards, dependency graphs.</w:t>
      </w:r>
    </w:p>
    <w:p>
      <w:pPr>
        <w:pStyle w:val="ListParagraph"/>
        <w:numPr>
          <w:ilvl w:val="0"/>
          <w:numId w:val="2"/>
        </w:numPr>
        <w:spacing w:after="120"/>
      </w:pPr>
      <w:r>
        <w:rPr>
          <w:b/>
          <w:bCs/>
        </w:rPr>
        <w:t xml:space="preserve">Quick-reference panels: </w:t>
      </w:r>
      <w:r>
        <w:t xml:space="preserve">Non-interactive informational displays that augment the catalog. On-call schedules, recent deployment history, related documentation links.</w:t>
      </w:r>
    </w:p>
    <w:p>
      <w:pPr>
        <w:spacing w:after="120"/>
      </w:pPr>
      <w:r>
        <w:rPr>
          <w:i/>
          <w:iCs/>
        </w:rPr>
        <w:t xml:space="preserve">The pattern: if the UI is about viewing data for one entity and the interaction model is read-mostly, V2 plugins are a great fit.</w:t>
      </w:r>
    </w:p>
    <w:p>
      <w:r>
        <w:br w:type="page"/>
      </w:r>
    </w:p>
    <w:p>
      <w:pPr>
        <w:pStyle w:val="Heading2"/>
      </w:pPr>
      <w:r>
        <w:t xml:space="preserve">Recommended Hybrid Architecture</w:t>
      </w:r>
    </w:p>
    <w:p>
      <w:pPr>
        <w:spacing w:after="120"/>
      </w:pPr>
      <w:r>
        <w:t xml:space="preserve">The recommendation is to use both approaches, but in their proper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Layer 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MFE shell (you own this)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developer platform. Module Federation shell, your design system, your CDN. Hosts all onboarding workflows and cross-domain experiences.</w:t>
            </w:r>
          </w:p>
        </w:tc>
      </w:tr>
      <w:tr>
        <w:tc>
          <w:tcPr>
            <w:tcW w:type="dxa" w:w="1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Layer 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Harness IDP as backend + catalog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catalog, workflow engine, pipelines. The CI/CD MFE calls Harness APIs through your BFF layer. Harness is a first-class backend service, not the UI shell.</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Layer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 plugins for catalog enrichment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teams that also browse Harness IDP directly: V2 plugins enrich entity pages with domain-specific context. Supplementary views, not primary workflows.</w:t>
            </w:r>
          </w:p>
        </w:tc>
      </w:tr>
    </w:tbl>
    <w:p>
      <w:pPr>
        <w:spacing w:after="200"/>
      </w:pPr>
    </w:p>
    <w:p>
      <w:pPr>
        <w:pStyle w:val="Heading2"/>
      </w:pPr>
      <w:r>
        <w:t xml:space="preserve">Decision Framework</w:t>
      </w:r>
    </w:p>
    <w:p>
      <w:pPr>
        <w:spacing w:after="120"/>
      </w:pPr>
      <w:r>
        <w:t xml:space="preserve">Use Harness V2 Plugins when:</w:t>
      </w:r>
    </w:p>
    <w:p>
      <w:pPr>
        <w:pStyle w:val="ListParagraph"/>
        <w:numPr>
          <w:ilvl w:val="0"/>
          <w:numId w:val="2"/>
        </w:numPr>
        <w:spacing w:after="120"/>
      </w:pPr>
      <w:r>
        <w:t xml:space="preserve">The experience is entity-scoped (one service, one resource)</w:t>
      </w:r>
    </w:p>
    <w:p>
      <w:pPr>
        <w:pStyle w:val="ListParagraph"/>
        <w:numPr>
          <w:ilvl w:val="0"/>
          <w:numId w:val="2"/>
        </w:numPr>
        <w:spacing w:after="120"/>
      </w:pPr>
      <w:r>
        <w:t xml:space="preserve">The interaction model is read-mostly (displaying data, not multi-step workflows)</w:t>
      </w:r>
    </w:p>
    <w:p>
      <w:pPr>
        <w:pStyle w:val="ListParagraph"/>
        <w:numPr>
          <w:ilvl w:val="0"/>
          <w:numId w:val="2"/>
        </w:numPr>
        <w:spacing w:after="120"/>
      </w:pPr>
      <w:r>
        <w:t xml:space="preserve">The data source is already proxied through Harness or accessible via their Backend Proxy</w:t>
      </w:r>
    </w:p>
    <w:p>
      <w:pPr>
        <w:pStyle w:val="ListParagraph"/>
        <w:numPr>
          <w:ilvl w:val="0"/>
          <w:numId w:val="2"/>
        </w:numPr>
        <w:spacing w:after="120"/>
      </w:pPr>
      <w:r>
        <w:t xml:space="preserve">The team is comfortable with Harness's layout YAML for placement</w:t>
      </w:r>
    </w:p>
    <w:p>
      <w:pPr>
        <w:spacing w:after="80"/>
      </w:pPr>
    </w:p>
    <w:p>
      <w:pPr>
        <w:spacing w:after="120"/>
      </w:pPr>
      <w:r>
        <w:t xml:space="preserve">Use Enterprise MFE when:</w:t>
      </w:r>
    </w:p>
    <w:p>
      <w:pPr>
        <w:pStyle w:val="ListParagraph"/>
        <w:numPr>
          <w:ilvl w:val="0"/>
          <w:numId w:val="2"/>
        </w:numPr>
        <w:spacing w:after="120"/>
      </w:pPr>
      <w:r>
        <w:t xml:space="preserve">The experience is cross-domain (involves data from multiple teams)</w:t>
      </w:r>
    </w:p>
    <w:p>
      <w:pPr>
        <w:pStyle w:val="ListParagraph"/>
        <w:numPr>
          <w:ilvl w:val="0"/>
          <w:numId w:val="2"/>
        </w:numPr>
        <w:spacing w:after="120"/>
      </w:pPr>
      <w:r>
        <w:t xml:space="preserve">The experience is workflow-heavy (multi-step onboarding, provisioning sequences)</w:t>
      </w:r>
    </w:p>
    <w:p>
      <w:pPr>
        <w:pStyle w:val="ListParagraph"/>
        <w:numPr>
          <w:ilvl w:val="0"/>
          <w:numId w:val="2"/>
        </w:numPr>
        <w:spacing w:after="120"/>
      </w:pPr>
      <w:r>
        <w:t xml:space="preserve">The experience needs to share context with other experiences in real time</w:t>
      </w:r>
    </w:p>
    <w:p>
      <w:pPr>
        <w:pStyle w:val="ListParagraph"/>
        <w:numPr>
          <w:ilvl w:val="0"/>
          <w:numId w:val="2"/>
        </w:numPr>
        <w:spacing w:after="120"/>
      </w:pPr>
      <w:r>
        <w:t xml:space="preserve">Full control is needed over design system, deployment cadence, and API access</w:t>
      </w:r>
    </w:p>
    <w:p>
      <w:pPr>
        <w:pStyle w:val="ListParagraph"/>
        <w:numPr>
          <w:ilvl w:val="0"/>
          <w:numId w:val="2"/>
        </w:numPr>
        <w:spacing w:after="120"/>
      </w:pPr>
      <w:r>
        <w:t xml:space="preserve">The experience is a primary entrypoint (not a supplementary catalog view)</w:t>
      </w:r>
    </w:p>
    <w:p>
      <w:pPr>
        <w:spacing w:after="200"/>
      </w:pPr>
    </w:p>
    <w:p>
      <w:pPr>
        <w:spacing w:after="120"/>
      </w:pPr>
      <w:r>
        <w:rPr>
          <w:b/>
          <w:bCs/>
        </w:rPr>
        <w:t xml:space="preserve">Assessment for all five domain experiences: </w:t>
      </w:r>
      <w:r>
        <w:t xml:space="preserve">CI/CD onboarding, Cloud account vending, Kafka topic creation, Data team onboarding, and API Gateway setup are all primary, cross-domain workflows. They all belong in the MFE layer. V2 plugins would serve as the read-only companion views that show the results of these workflows on the Harness catalog page after the fact.</w:t>
      </w:r>
    </w:p>
    <w:p>
      <w:r>
        <w:br w:type="page"/>
      </w:r>
    </w:p>
    <w:p>
      <w:pPr>
        <w:pStyle w:val="Heading2"/>
      </w:pPr>
      <w:r>
        <w:t xml:space="preserve">Next Steps: Deep-Dive Topics</w:t>
      </w:r>
    </w:p>
    <w:p>
      <w:pPr>
        <w:spacing w:after="120"/>
      </w:pPr>
      <w:r>
        <w:t xml:space="preserve">The following areas require detailed design in subsequent iterations:</w:t>
      </w:r>
    </w:p>
    <w:p>
      <w:pPr>
        <w:pStyle w:val="ListParagraph"/>
        <w:numPr>
          <w:ilvl w:val="0"/>
          <w:numId w:val="4"/>
        </w:numPr>
        <w:spacing w:after="120"/>
      </w:pPr>
      <w:r>
        <w:rPr>
          <w:b/>
          <w:bCs/>
        </w:rPr>
        <w:t xml:space="preserve">MFE SDK contract design: </w:t>
      </w:r>
      <w:r>
        <w:t xml:space="preserve">The formal specification each domain team must implement: manifest schema, context interface types, lifecycle hooks, error boundary contracts, and the shared component library API.</w:t>
      </w:r>
    </w:p>
    <w:p>
      <w:pPr>
        <w:pStyle w:val="ListParagraph"/>
        <w:numPr>
          <w:ilvl w:val="0"/>
          <w:numId w:val="4"/>
        </w:numPr>
        <w:spacing w:after="120"/>
      </w:pPr>
      <w:r>
        <w:rPr>
          <w:b/>
          <w:bCs/>
        </w:rPr>
        <w:t xml:space="preserve">BFF / GraphQL federation schema: </w:t>
      </w:r>
      <w:r>
        <w:t xml:space="preserve">The federated GraphQL schema that abstracts Harness APIs, CMDB, and domain-specific backends into a unified query surface. Includes entity resolution strategy and caching design.</w:t>
      </w:r>
    </w:p>
    <w:p>
      <w:pPr>
        <w:pStyle w:val="ListParagraph"/>
        <w:numPr>
          <w:ilvl w:val="0"/>
          <w:numId w:val="4"/>
        </w:numPr>
        <w:spacing w:after="120"/>
      </w:pPr>
      <w:r>
        <w:rPr>
          <w:b/>
          <w:bCs/>
        </w:rPr>
        <w:t xml:space="preserve">Harness workflow integration patterns: </w:t>
      </w:r>
      <w:r>
        <w:t xml:space="preserve">Specific integration patterns for triggering Harness IDP Workflows from the MFE shell, handling async pipeline execution, and publishing entity creation events to the context bus.</w:t>
      </w:r>
    </w:p>
    <w:p>
      <w:pPr>
        <w:pStyle w:val="ListParagraph"/>
        <w:numPr>
          <w:ilvl w:val="0"/>
          <w:numId w:val="4"/>
        </w:numPr>
        <w:spacing w:after="120"/>
      </w:pPr>
      <w:r>
        <w:rPr>
          <w:b/>
          <w:bCs/>
        </w:rPr>
        <w:t xml:space="preserve">Context bus event model: </w:t>
      </w:r>
      <w:r>
        <w:t xml:space="preserve">Typed event schema, propagation semantics, conflict resolution for concurrent selections, and persistence strategy for deep-link support.</w:t>
      </w:r>
    </w:p>
    <w:p>
      <w:pPr>
        <w:pStyle w:val="ListParagraph"/>
        <w:numPr>
          <w:ilvl w:val="0"/>
          <w:numId w:val="4"/>
        </w:numPr>
        <w:spacing w:after="120"/>
      </w:pPr>
      <w:r>
        <w:rPr>
          <w:b/>
          <w:bCs/>
        </w:rPr>
        <w:t xml:space="preserve">CMDB integration and entity sync: </w:t>
      </w:r>
      <w:r>
        <w:t xml:space="preserve">Sync protocol between CMDB and the platform catalog, conflict resolution for ownership data, and the ingestion pipeline for pushing enriched data back into Harness's catalog.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tabs>
        <w:tab w:val="right" w:pos="9026"/>
      </w:tabs>
    </w:pPr>
    <w:r>
      <w:rPr>
        <w:rFonts w:ascii="Arial" w:cs="Arial" w:eastAsia="Arial" w:hAnsi="Arial"/>
        <w:color w:val="999999"/>
        <w:sz w:val="18"/>
        <w:szCs w:val="18"/>
      </w:rPr>
      <w:t xml:space="preserve">Unified Developer Platform — Architecture Design</w:t>
    </w:r>
    <w:r>
      <w:rPr>
        <w:color w:val="CCCCC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2026-06-05T22:37:46.037Z</dcterms:created>
  <dcterms:modified xsi:type="dcterms:W3CDTF">2026-06-05T22:37:46.038Z</dcterms:modified>
</cp:coreProperties>
</file>

<file path=docProps/custom.xml><?xml version="1.0" encoding="utf-8"?>
<Properties xmlns="http://schemas.openxmlformats.org/officeDocument/2006/custom-properties" xmlns:vt="http://schemas.openxmlformats.org/officeDocument/2006/docPropsVTypes"/>
</file>