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7717" w:rsidRDefault="00C87717">
      <w:pPr>
        <w:spacing w:after="200"/>
      </w:pPr>
    </w:p>
    <w:p w:rsidR="00C87717" w:rsidRDefault="00000000">
      <w:pPr>
        <w:spacing w:after="40"/>
      </w:pPr>
      <w:r>
        <w:rPr>
          <w:b/>
          <w:bCs/>
          <w:color w:val="2E75B6"/>
          <w:sz w:val="20"/>
          <w:szCs w:val="20"/>
        </w:rPr>
        <w:t xml:space="preserve">CTO BRIEFING </w:t>
      </w:r>
      <w:r w:rsidR="00281D06">
        <w:rPr>
          <w:b/>
          <w:bCs/>
          <w:color w:val="2E75B6"/>
          <w:sz w:val="20"/>
          <w:szCs w:val="20"/>
        </w:rPr>
        <w:t>JUNE</w:t>
      </w:r>
      <w:r>
        <w:rPr>
          <w:b/>
          <w:bCs/>
          <w:color w:val="2E75B6"/>
          <w:sz w:val="20"/>
          <w:szCs w:val="20"/>
        </w:rPr>
        <w:t xml:space="preserve"> 2026</w:t>
      </w:r>
    </w:p>
    <w:p w:rsidR="00C87717" w:rsidRDefault="00000000">
      <w:pPr>
        <w:spacing w:after="80"/>
      </w:pPr>
      <w:r>
        <w:rPr>
          <w:b/>
          <w:bCs/>
          <w:color w:val="2C3E50"/>
          <w:sz w:val="44"/>
          <w:szCs w:val="44"/>
        </w:rPr>
        <w:t>AI-DLC: What We’re Building</w:t>
      </w:r>
    </w:p>
    <w:p w:rsidR="00C87717" w:rsidRDefault="00000000">
      <w:pPr>
        <w:pBdr>
          <w:bottom w:val="single" w:sz="8" w:space="8" w:color="C0392B"/>
        </w:pBdr>
        <w:spacing w:after="320"/>
      </w:pPr>
      <w:r>
        <w:rPr>
          <w:i/>
          <w:iCs/>
          <w:color w:val="555555"/>
          <w:sz w:val="24"/>
          <w:szCs w:val="24"/>
        </w:rPr>
        <w:t>A CLI-first platform backed by an MCP Gateway that delivers governed AI-native development across every phase of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8771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120" w:type="dxa"/>
              <w:left w:w="80" w:type="dxa"/>
              <w:bottom w:w="120" w:type="dxa"/>
              <w:right w:w="80" w:type="dxa"/>
            </w:tcMar>
          </w:tcPr>
          <w:p w:rsidR="00C87717" w:rsidRDefault="00000000">
            <w:pPr>
              <w:spacing w:after="40"/>
              <w:jc w:val="center"/>
            </w:pPr>
            <w:r>
              <w:rPr>
                <w:b/>
                <w:bCs/>
                <w:color w:val="2E75B6"/>
                <w:sz w:val="36"/>
                <w:szCs w:val="36"/>
              </w:rPr>
              <w:t>4</w:t>
            </w:r>
          </w:p>
          <w:p w:rsidR="00C87717" w:rsidRDefault="00000000">
            <w:pPr>
              <w:jc w:val="center"/>
            </w:pPr>
            <w:r>
              <w:rPr>
                <w:color w:val="555555"/>
                <w:sz w:val="18"/>
                <w:szCs w:val="18"/>
              </w:rPr>
              <w:t>Strategic Goals</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120" w:type="dxa"/>
              <w:left w:w="80" w:type="dxa"/>
              <w:bottom w:w="120" w:type="dxa"/>
              <w:right w:w="80" w:type="dxa"/>
            </w:tcMar>
          </w:tcPr>
          <w:p w:rsidR="00C87717" w:rsidRDefault="00000000">
            <w:pPr>
              <w:spacing w:after="40"/>
              <w:jc w:val="center"/>
            </w:pPr>
            <w:r>
              <w:rPr>
                <w:b/>
                <w:bCs/>
                <w:color w:val="2E75B6"/>
                <w:sz w:val="36"/>
                <w:szCs w:val="36"/>
              </w:rPr>
              <w:t>49</w:t>
            </w:r>
          </w:p>
          <w:p w:rsidR="00C87717" w:rsidRDefault="00000000">
            <w:pPr>
              <w:jc w:val="center"/>
            </w:pPr>
            <w:r>
              <w:rPr>
                <w:color w:val="555555"/>
                <w:sz w:val="18"/>
                <w:szCs w:val="18"/>
              </w:rPr>
              <w:t>Gaps Resolved</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120" w:type="dxa"/>
              <w:left w:w="80" w:type="dxa"/>
              <w:bottom w:w="120" w:type="dxa"/>
              <w:right w:w="80" w:type="dxa"/>
            </w:tcMar>
          </w:tcPr>
          <w:p w:rsidR="00C87717" w:rsidRDefault="00000000">
            <w:pPr>
              <w:spacing w:after="40"/>
              <w:jc w:val="center"/>
            </w:pPr>
            <w:r>
              <w:rPr>
                <w:b/>
                <w:bCs/>
                <w:color w:val="2E75B6"/>
                <w:sz w:val="36"/>
                <w:szCs w:val="36"/>
              </w:rPr>
              <w:t>1</w:t>
            </w:r>
          </w:p>
          <w:p w:rsidR="00C87717" w:rsidRDefault="00000000">
            <w:pPr>
              <w:jc w:val="center"/>
            </w:pPr>
            <w:r>
              <w:rPr>
                <w:color w:val="555555"/>
                <w:sz w:val="18"/>
                <w:szCs w:val="18"/>
              </w:rPr>
              <w:t>CLI Binary</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120" w:type="dxa"/>
              <w:left w:w="80" w:type="dxa"/>
              <w:bottom w:w="120" w:type="dxa"/>
              <w:right w:w="80" w:type="dxa"/>
            </w:tcMar>
          </w:tcPr>
          <w:p w:rsidR="00C87717" w:rsidRDefault="00000000">
            <w:pPr>
              <w:spacing w:after="40"/>
              <w:jc w:val="center"/>
            </w:pPr>
            <w:r>
              <w:rPr>
                <w:b/>
                <w:bCs/>
                <w:color w:val="2E75B6"/>
                <w:sz w:val="36"/>
                <w:szCs w:val="36"/>
              </w:rPr>
              <w:t>16</w:t>
            </w:r>
          </w:p>
          <w:p w:rsidR="00C87717" w:rsidRDefault="00000000">
            <w:pPr>
              <w:jc w:val="center"/>
            </w:pPr>
            <w:r>
              <w:rPr>
                <w:color w:val="555555"/>
                <w:sz w:val="18"/>
                <w:szCs w:val="18"/>
              </w:rPr>
              <w:t>Week Delivery</w:t>
            </w:r>
          </w:p>
        </w:tc>
        <w:tc>
          <w:tcPr>
            <w:tcW w:w="1872" w:type="dxa"/>
            <w:tcBorders>
              <w:top w:val="single" w:sz="1" w:space="0" w:color="CCCCCC"/>
              <w:left w:val="single" w:sz="1" w:space="0" w:color="CCCCCC"/>
              <w:bottom w:val="single" w:sz="1" w:space="0" w:color="CCCCCC"/>
              <w:right w:val="single" w:sz="1" w:space="0" w:color="CCCCCC"/>
            </w:tcBorders>
            <w:shd w:val="clear" w:color="auto" w:fill="F2F3F4"/>
            <w:tcMar>
              <w:top w:w="120" w:type="dxa"/>
              <w:left w:w="80" w:type="dxa"/>
              <w:bottom w:w="120" w:type="dxa"/>
              <w:right w:w="80" w:type="dxa"/>
            </w:tcMar>
          </w:tcPr>
          <w:p w:rsidR="00C87717" w:rsidRDefault="00000000">
            <w:pPr>
              <w:spacing w:after="40"/>
              <w:jc w:val="center"/>
            </w:pPr>
            <w:r>
              <w:rPr>
                <w:b/>
                <w:bCs/>
                <w:color w:val="2E75B6"/>
                <w:sz w:val="36"/>
                <w:szCs w:val="36"/>
              </w:rPr>
              <w:t>6+</w:t>
            </w:r>
          </w:p>
          <w:p w:rsidR="00C87717" w:rsidRDefault="00000000">
            <w:pPr>
              <w:jc w:val="center"/>
            </w:pPr>
            <w:r>
              <w:rPr>
                <w:color w:val="555555"/>
                <w:sz w:val="18"/>
                <w:szCs w:val="18"/>
              </w:rPr>
              <w:t>IDEs Supported</w:t>
            </w:r>
          </w:p>
        </w:tc>
      </w:tr>
    </w:tbl>
    <w:p w:rsidR="00C87717" w:rsidRDefault="00C87717">
      <w:pPr>
        <w:spacing w:after="240"/>
      </w:pPr>
    </w:p>
    <w:p w:rsidR="00C87717" w:rsidRDefault="00000000">
      <w:pPr>
        <w:pStyle w:val="Heading1"/>
      </w:pPr>
      <w:r>
        <w:t>Executive Summary</w:t>
      </w:r>
    </w:p>
    <w:p w:rsidR="00C87717" w:rsidRDefault="00000000">
      <w:pPr>
        <w:spacing w:after="160" w:line="300" w:lineRule="auto"/>
      </w:pPr>
      <w:r>
        <w:rPr>
          <w:color w:val="555555"/>
        </w:rPr>
        <w:t xml:space="preserve">is moving to an AI-Driven Development Lifecycle (AI-DLC), a model where AI agents are active participants in every phase of delivery: requirements, design, coding, testing, and operations. This enablement plan ensures </w:t>
      </w:r>
      <w:r w:rsidR="004B4DC7">
        <w:rPr>
          <w:color w:val="555555"/>
        </w:rPr>
        <w:t>AAA</w:t>
      </w:r>
      <w:r>
        <w:rPr>
          <w:color w:val="555555"/>
        </w:rPr>
        <w:t xml:space="preserve"> can do this with control, auditability, and governance — not just speed.</w:t>
      </w:r>
    </w:p>
    <w:p w:rsidR="00C87717" w:rsidRDefault="00000000">
      <w:pPr>
        <w:spacing w:after="160" w:line="300" w:lineRule="auto"/>
      </w:pPr>
      <w:r>
        <w:rPr>
          <w:color w:val="555555"/>
        </w:rPr>
        <w:t>A comprehensive gap analysis across the entire AI-DLC lifecycle identified 49 gaps preventing governed AI-native delivery. These span four phases: 20 in the Inception phase, 16 in Construction, 6 in Operations, and 8 cross-cutting concerns (authentication, audit, multi-repo support, and scaling). Of these, 23 are high severity — blocking governed AI-native workflows entirely. Without resolution, agents operate without guardrails, audit trails, or access to enterprise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771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EBF5FB"/>
            <w:tcMar>
              <w:top w:w="120" w:type="dxa"/>
              <w:left w:w="200" w:type="dxa"/>
              <w:bottom w:w="120" w:type="dxa"/>
              <w:right w:w="200" w:type="dxa"/>
            </w:tcMar>
          </w:tcPr>
          <w:p w:rsidR="00C87717" w:rsidRDefault="00000000">
            <w:pPr>
              <w:spacing w:after="80"/>
            </w:pPr>
            <w:r>
              <w:rPr>
                <w:b/>
                <w:bCs/>
                <w:color w:val="2E75B6"/>
              </w:rPr>
              <w:t>Key Insight: 6 mechanisms resolve all 49 gaps</w:t>
            </w:r>
          </w:p>
          <w:p w:rsidR="00C87717" w:rsidRDefault="00000000">
            <w:r>
              <w:rPr>
                <w:color w:val="2C3E50"/>
                <w:sz w:val="20"/>
                <w:szCs w:val="20"/>
              </w:rPr>
              <w:t xml:space="preserve">Rather than </w:t>
            </w:r>
            <w:proofErr w:type="gramStart"/>
            <w:r>
              <w:rPr>
                <w:color w:val="2C3E50"/>
                <w:sz w:val="20"/>
                <w:szCs w:val="20"/>
              </w:rPr>
              <w:t>49 point</w:t>
            </w:r>
            <w:proofErr w:type="gramEnd"/>
            <w:r>
              <w:rPr>
                <w:color w:val="2C3E50"/>
                <w:sz w:val="20"/>
                <w:szCs w:val="20"/>
              </w:rPr>
              <w:t xml:space="preserve"> solutions, our architecture resolves all gaps through just 6 patterns: CLI → Gateway (14 gaps), Local CLI (12), GitHub Actions (11), Extensions (8), Skills (7), and CODEOWNERS/PR process (4).</w:t>
            </w:r>
          </w:p>
        </w:tc>
      </w:tr>
    </w:tbl>
    <w:p w:rsidR="00C87717" w:rsidRDefault="00C87717">
      <w:pPr>
        <w:spacing w:after="80"/>
      </w:pPr>
    </w:p>
    <w:p w:rsidR="00C87717" w:rsidRDefault="00000000">
      <w:pPr>
        <w:spacing w:after="160" w:line="300" w:lineRule="auto"/>
      </w:pPr>
      <w:r>
        <w:rPr>
          <w:color w:val="555555"/>
        </w:rPr>
        <w:t xml:space="preserve">The system is built entirely on standards and portable configuration, ensuring it works across any IDE or AI agent </w:t>
      </w:r>
      <w:r w:rsidR="004B4DC7">
        <w:rPr>
          <w:color w:val="555555"/>
        </w:rPr>
        <w:t>AAA</w:t>
      </w:r>
      <w:r>
        <w:rPr>
          <w:color w:val="555555"/>
        </w:rPr>
        <w:t xml:space="preserve"> adopts, today or in the future. Whether teams use </w:t>
      </w:r>
      <w:proofErr w:type="spellStart"/>
      <w:r>
        <w:rPr>
          <w:color w:val="555555"/>
        </w:rPr>
        <w:t>Kiro</w:t>
      </w:r>
      <w:proofErr w:type="spellEnd"/>
      <w:r>
        <w:rPr>
          <w:color w:val="555555"/>
        </w:rPr>
        <w:t>, GitHub Copilot, Claude Code, Cursor, or Amazon Q Developer, the same steering rules, guardrails, and integrations apply uniformly.</w:t>
      </w:r>
    </w:p>
    <w:p w:rsidR="00C87717" w:rsidRDefault="00000000">
      <w:r>
        <w:br w:type="page"/>
      </w:r>
    </w:p>
    <w:p w:rsidR="00C87717" w:rsidRDefault="00000000">
      <w:pPr>
        <w:pStyle w:val="Heading1"/>
      </w:pPr>
      <w:r>
        <w:lastRenderedPageBreak/>
        <w:t>Our Approach: CLI-First + MCP Gateway</w:t>
      </w:r>
    </w:p>
    <w:p w:rsidR="00C87717" w:rsidRDefault="00000000">
      <w:pPr>
        <w:spacing w:after="160" w:line="300" w:lineRule="auto"/>
      </w:pPr>
      <w:r>
        <w:rPr>
          <w:color w:val="555555"/>
        </w:rPr>
        <w:t>We build one Go binary (</w:t>
      </w:r>
      <w:proofErr w:type="spellStart"/>
      <w:r>
        <w:rPr>
          <w:color w:val="555555"/>
        </w:rPr>
        <w:t>tfs</w:t>
      </w:r>
      <w:proofErr w:type="spellEnd"/>
      <w:r>
        <w:rPr>
          <w:color w:val="555555"/>
        </w:rPr>
        <w:t>) that every developer and AI agent uses. Behind it, an MCP Gateway handles authentication, authorization, audit, and routing. Agents that support MCP natively get the same commands via a thin adapter — zero separate logic.</w:t>
      </w:r>
    </w:p>
    <w:p w:rsidR="00C87717" w:rsidRDefault="00C877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771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60" w:type="dxa"/>
              <w:left w:w="200" w:type="dxa"/>
              <w:bottom w:w="160" w:type="dxa"/>
              <w:right w:w="200" w:type="dxa"/>
            </w:tcMar>
          </w:tcPr>
          <w:p w:rsidR="00C87717" w:rsidRDefault="00000000">
            <w:pPr>
              <w:spacing w:after="120"/>
              <w:jc w:val="center"/>
            </w:pPr>
            <w:r>
              <w:rPr>
                <w:b/>
                <w:bCs/>
                <w:color w:val="2C3E50"/>
              </w:rPr>
              <w:t>Developer / AI Agent</w:t>
            </w:r>
          </w:p>
          <w:p w:rsidR="00C87717" w:rsidRDefault="00000000">
            <w:pPr>
              <w:spacing w:after="40"/>
              <w:jc w:val="center"/>
            </w:pPr>
            <w:r>
              <w:rPr>
                <w:color w:val="555555"/>
                <w:sz w:val="18"/>
                <w:szCs w:val="18"/>
              </w:rPr>
              <w:t xml:space="preserve">Copilot · Claude Code · </w:t>
            </w:r>
            <w:proofErr w:type="spellStart"/>
            <w:r>
              <w:rPr>
                <w:color w:val="555555"/>
                <w:sz w:val="18"/>
                <w:szCs w:val="18"/>
              </w:rPr>
              <w:t>Kiro</w:t>
            </w:r>
            <w:proofErr w:type="spellEnd"/>
            <w:r>
              <w:rPr>
                <w:color w:val="555555"/>
                <w:sz w:val="18"/>
                <w:szCs w:val="18"/>
              </w:rPr>
              <w:t xml:space="preserve"> · Cursor · Amazon Q · Terminal</w:t>
            </w:r>
          </w:p>
          <w:p w:rsidR="00C87717" w:rsidRDefault="00000000">
            <w:pPr>
              <w:spacing w:after="120"/>
              <w:jc w:val="center"/>
            </w:pPr>
            <w:r>
              <w:rPr>
                <w:color w:val="2E75B6"/>
              </w:rPr>
              <w:t>▼</w:t>
            </w:r>
          </w:p>
          <w:p w:rsidR="00C87717" w:rsidRDefault="00000000">
            <w:pPr>
              <w:spacing w:after="120"/>
              <w:jc w:val="center"/>
            </w:pPr>
            <w:r>
              <w:rPr>
                <w:b/>
                <w:bCs/>
                <w:color w:val="2E75B6"/>
              </w:rPr>
              <w:t xml:space="preserve">Core CLI </w:t>
            </w:r>
            <w:r>
              <w:rPr>
                <w:color w:val="555555"/>
                <w:sz w:val="18"/>
                <w:szCs w:val="18"/>
              </w:rPr>
              <w:t>— Single Go binary · 16 domains · 40+ commands · Dual output: table + JSON</w:t>
            </w:r>
          </w:p>
          <w:p w:rsidR="00C87717" w:rsidRDefault="00000000">
            <w:pPr>
              <w:spacing w:after="120"/>
              <w:jc w:val="center"/>
            </w:pPr>
            <w:r>
              <w:rPr>
                <w:color w:val="555555"/>
                <w:sz w:val="18"/>
                <w:szCs w:val="18"/>
              </w:rPr>
              <w:t>▼ (remote commands only)</w:t>
            </w:r>
          </w:p>
          <w:p w:rsidR="00C87717" w:rsidRDefault="00000000">
            <w:pPr>
              <w:spacing w:after="120"/>
              <w:jc w:val="center"/>
            </w:pPr>
            <w:r>
              <w:rPr>
                <w:b/>
                <w:bCs/>
                <w:color w:val="1E8449"/>
              </w:rPr>
              <w:t xml:space="preserve">MCP Gateway </w:t>
            </w:r>
            <w:r>
              <w:rPr>
                <w:color w:val="555555"/>
                <w:sz w:val="18"/>
                <w:szCs w:val="18"/>
              </w:rPr>
              <w:t xml:space="preserve">— ECS </w:t>
            </w:r>
            <w:proofErr w:type="spellStart"/>
            <w:r>
              <w:rPr>
                <w:color w:val="555555"/>
                <w:sz w:val="18"/>
                <w:szCs w:val="18"/>
              </w:rPr>
              <w:t>Fargate</w:t>
            </w:r>
            <w:proofErr w:type="spellEnd"/>
            <w:r>
              <w:rPr>
                <w:color w:val="555555"/>
                <w:sz w:val="18"/>
                <w:szCs w:val="18"/>
              </w:rPr>
              <w:t xml:space="preserve"> (dual-region) · Okta SSO · Persona-based </w:t>
            </w:r>
            <w:proofErr w:type="spellStart"/>
            <w:r>
              <w:rPr>
                <w:color w:val="555555"/>
                <w:sz w:val="18"/>
                <w:szCs w:val="18"/>
              </w:rPr>
              <w:t>AuthZ</w:t>
            </w:r>
            <w:proofErr w:type="spellEnd"/>
            <w:r>
              <w:rPr>
                <w:color w:val="555555"/>
                <w:sz w:val="18"/>
                <w:szCs w:val="18"/>
              </w:rPr>
              <w:t xml:space="preserve"> · Audit Logging</w:t>
            </w:r>
          </w:p>
          <w:p w:rsidR="00C87717" w:rsidRDefault="00000000">
            <w:pPr>
              <w:jc w:val="center"/>
            </w:pPr>
            <w:r>
              <w:rPr>
                <w:color w:val="1E8449"/>
              </w:rPr>
              <w:t>▼</w:t>
            </w:r>
          </w:p>
          <w:p w:rsidR="00C87717" w:rsidRDefault="00000000">
            <w:pPr>
              <w:jc w:val="center"/>
            </w:pPr>
            <w:r>
              <w:rPr>
                <w:color w:val="555555"/>
                <w:sz w:val="18"/>
                <w:szCs w:val="18"/>
              </w:rPr>
              <w:t>ServiceNow · Dynatrace · Harness · SonarQube · MuleSoft · IDP Shared Services</w:t>
            </w:r>
          </w:p>
        </w:tc>
      </w:tr>
    </w:tbl>
    <w:p w:rsidR="00C87717" w:rsidRDefault="00C87717">
      <w:pPr>
        <w:spacing w:after="160"/>
      </w:pPr>
    </w:p>
    <w:p w:rsidR="00C87717" w:rsidRDefault="00000000">
      <w:pPr>
        <w:pStyle w:val="Heading2"/>
      </w:pPr>
      <w:r>
        <w:t>Why CLI-First?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8771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Concern</w:t>
            </w:r>
          </w:p>
        </w:tc>
        <w:tc>
          <w:tcPr>
            <w:tcW w:w="69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CLI Advantage</w:t>
            </w:r>
          </w:p>
        </w:tc>
      </w:tr>
      <w:tr w:rsidR="00C8771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Agent compatibility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 xml:space="preserve">Every agent can </w:t>
            </w:r>
            <w:proofErr w:type="spellStart"/>
            <w:r>
              <w:rPr>
                <w:color w:val="555555"/>
                <w:sz w:val="20"/>
                <w:szCs w:val="20"/>
              </w:rPr>
              <w:t>run_in_terminal</w:t>
            </w:r>
            <w:proofErr w:type="spellEnd"/>
            <w:r>
              <w:rPr>
                <w:color w:val="555555"/>
                <w:sz w:val="20"/>
                <w:szCs w:val="20"/>
              </w:rPr>
              <w:t>. Not all support MCP natively.</w:t>
            </w:r>
          </w:p>
        </w:tc>
      </w:tr>
      <w:tr w:rsidR="00C8771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Local-first</w:t>
            </w:r>
          </w:p>
        </w:tc>
        <w:tc>
          <w:tcPr>
            <w:tcW w:w="69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Validation, linting, policy checks run without network — instant feedback.</w:t>
            </w:r>
          </w:p>
        </w:tc>
      </w:tr>
      <w:tr w:rsidR="00C8771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Composability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Unix pipes, scripts, GitHub Actions all consume CLI output.</w:t>
            </w:r>
          </w:p>
        </w:tc>
      </w:tr>
      <w:tr w:rsidR="00C8771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Debuggability</w:t>
            </w:r>
          </w:p>
        </w:tc>
        <w:tc>
          <w:tcPr>
            <w:tcW w:w="69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Developers can run the same commands the agent runs.</w:t>
            </w:r>
          </w:p>
        </w:tc>
      </w:tr>
      <w:tr w:rsidR="00C8771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Zero vendor lock-in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Works with any IDE, any agent, any OS. MCP adapter for native support.</w:t>
            </w:r>
          </w:p>
        </w:tc>
      </w:tr>
    </w:tbl>
    <w:p w:rsidR="00C87717" w:rsidRDefault="00C877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771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EBF5FB"/>
            <w:tcMar>
              <w:top w:w="120" w:type="dxa"/>
              <w:left w:w="200" w:type="dxa"/>
              <w:bottom w:w="120" w:type="dxa"/>
              <w:right w:w="200" w:type="dxa"/>
            </w:tcMar>
          </w:tcPr>
          <w:p w:rsidR="00C87717" w:rsidRDefault="00000000">
            <w:pPr>
              <w:spacing w:after="80"/>
            </w:pPr>
            <w:r>
              <w:rPr>
                <w:b/>
                <w:bCs/>
                <w:color w:val="2E75B6"/>
              </w:rPr>
              <w:t>One implementation, two access patterns</w:t>
            </w:r>
          </w:p>
          <w:p w:rsidR="00C87717" w:rsidRDefault="00000000">
            <w:r>
              <w:rPr>
                <w:color w:val="2C3E50"/>
                <w:sz w:val="20"/>
                <w:szCs w:val="20"/>
              </w:rPr>
              <w:t xml:space="preserve">For MCP-native agents (Claude Code, </w:t>
            </w:r>
            <w:proofErr w:type="spellStart"/>
            <w:r>
              <w:rPr>
                <w:color w:val="2C3E50"/>
                <w:sz w:val="20"/>
                <w:szCs w:val="20"/>
              </w:rPr>
              <w:t>Kiro</w:t>
            </w:r>
            <w:proofErr w:type="spellEnd"/>
            <w:r>
              <w:rPr>
                <w:color w:val="2C3E50"/>
                <w:sz w:val="20"/>
                <w:szCs w:val="20"/>
              </w:rPr>
              <w:t>), a thin TypeScript adapter wraps the same CLI. No separate logic exists. If it works in terminal, it works via MCP — guaranteed. We never maintain two codebases.</w:t>
            </w:r>
          </w:p>
        </w:tc>
      </w:tr>
    </w:tbl>
    <w:p w:rsidR="00C87717" w:rsidRDefault="00000000">
      <w:r>
        <w:br w:type="page"/>
      </w:r>
    </w:p>
    <w:p w:rsidR="00C87717" w:rsidRDefault="00000000">
      <w:pPr>
        <w:pStyle w:val="Heading1"/>
      </w:pPr>
      <w:r>
        <w:lastRenderedPageBreak/>
        <w:t>Strategic Goals: Q2–Q3 2026</w:t>
      </w:r>
    </w:p>
    <w:p w:rsidR="00C87717" w:rsidRDefault="00000000">
      <w:pPr>
        <w:spacing w:after="160" w:line="300" w:lineRule="auto"/>
      </w:pPr>
      <w:r>
        <w:rPr>
          <w:color w:val="555555"/>
        </w:rPr>
        <w:t>The enablement plan is organized around four strategic goals that together deliver governed, auditable, IDE-agnostic AI-native development.</w:t>
      </w:r>
    </w:p>
    <w:p w:rsidR="00C87717" w:rsidRDefault="00C87717">
      <w:pPr>
        <w:spacing w:after="80"/>
      </w:pPr>
    </w:p>
    <w:p w:rsidR="00C87717" w:rsidRDefault="00000000">
      <w:pPr>
        <w:pStyle w:val="Heading2"/>
      </w:pPr>
      <w:r>
        <w:t>Goal 1 — Persona-Based SOPs</w:t>
      </w:r>
    </w:p>
    <w:p w:rsidR="00C87717" w:rsidRDefault="00000000">
      <w:pPr>
        <w:spacing w:after="80"/>
      </w:pPr>
      <w:r>
        <w:rPr>
          <w:b/>
          <w:bCs/>
          <w:color w:val="2E75B6"/>
          <w:sz w:val="18"/>
          <w:szCs w:val="18"/>
        </w:rPr>
        <w:t>ROLE-AWARE AI</w:t>
      </w:r>
    </w:p>
    <w:p w:rsidR="00C87717" w:rsidRDefault="00000000">
      <w:pPr>
        <w:spacing w:after="160" w:line="300" w:lineRule="auto"/>
      </w:pPr>
      <w:r>
        <w:rPr>
          <w:color w:val="555555"/>
        </w:rPr>
        <w:t>A persona is the complete behavioral profile for an AI agent operating in a specific role. It determines which standards the agent enforces, what tools it can access, and which AI-DLC phases it focuses on. The agent behaves differently depending on who is using it.</w:t>
      </w:r>
    </w:p>
    <w:p w:rsidR="00C87717" w:rsidRDefault="00000000">
      <w:pPr>
        <w:spacing w:after="160" w:line="300" w:lineRule="auto"/>
      </w:pPr>
      <w:r>
        <w:rPr>
          <w:color w:val="555555"/>
        </w:rPr>
        <w:t>We define five personas, each with distinct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8771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Persona</w:t>
            </w:r>
          </w:p>
        </w:tc>
        <w:tc>
          <w:tcPr>
            <w:tcW w:w="7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Standards &amp; Focus Areas</w:t>
            </w:r>
          </w:p>
        </w:tc>
      </w:tr>
      <w:tr w:rsidR="00C8771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Product</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Product standards, Confluence integration, requirements quality</w:t>
            </w:r>
          </w:p>
        </w:tc>
      </w:tr>
      <w:tr w:rsidR="00C8771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Architect</w:t>
            </w:r>
          </w:p>
        </w:tc>
        <w:tc>
          <w:tcPr>
            <w:tcW w:w="75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Architecture standards, reference patterns, tech stack governance, ADR creation</w:t>
            </w:r>
          </w:p>
        </w:tc>
      </w:tr>
      <w:tr w:rsidR="00C8771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Developer</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Coding standards, naming conventions, building blocks, unit testing</w:t>
            </w:r>
          </w:p>
        </w:tc>
      </w:tr>
      <w:tr w:rsidR="00C8771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 xml:space="preserve">Tech </w:t>
            </w:r>
            <w:proofErr w:type="gramStart"/>
            <w:r>
              <w:rPr>
                <w:b/>
                <w:bCs/>
                <w:color w:val="555555"/>
                <w:sz w:val="20"/>
                <w:szCs w:val="20"/>
              </w:rPr>
              <w:t>Lead</w:t>
            </w:r>
            <w:proofErr w:type="gramEnd"/>
          </w:p>
        </w:tc>
        <w:tc>
          <w:tcPr>
            <w:tcW w:w="75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IDP integration, Jira workflow, GitHub management, code reviews</w:t>
            </w:r>
          </w:p>
        </w:tc>
      </w:tr>
      <w:tr w:rsidR="00C8771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QA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Test standards, quality gates, coverage targets, acceptance criteria</w:t>
            </w:r>
          </w:p>
        </w:tc>
      </w:tr>
    </w:tbl>
    <w:p w:rsidR="00C87717" w:rsidRDefault="00C87717">
      <w:pPr>
        <w:spacing w:after="80"/>
      </w:pPr>
    </w:p>
    <w:p w:rsidR="00C87717" w:rsidRDefault="00000000">
      <w:pPr>
        <w:spacing w:after="160" w:line="300" w:lineRule="auto"/>
      </w:pPr>
      <w:r>
        <w:rPr>
          <w:color w:val="555555"/>
        </w:rPr>
        <w:t>Personas are configured via environment variable (AIDLC_PERSONA), project file, or Git config. The active persona is loaded into the agent’s steering rules at startup and determines both the behavioral instructions and the tool permission matrix applied throughout the session.</w:t>
      </w:r>
    </w:p>
    <w:p w:rsidR="00C87717" w:rsidRDefault="00C87717">
      <w:pPr>
        <w:spacing w:after="120"/>
      </w:pPr>
    </w:p>
    <w:p w:rsidR="00C87717" w:rsidRDefault="00000000">
      <w:pPr>
        <w:pStyle w:val="Heading2"/>
      </w:pPr>
      <w:r>
        <w:t>Goal 2 — Agent Guardrails &amp; Approval Workflows</w:t>
      </w:r>
    </w:p>
    <w:p w:rsidR="00C87717" w:rsidRDefault="00000000">
      <w:pPr>
        <w:spacing w:after="80"/>
      </w:pPr>
      <w:r>
        <w:rPr>
          <w:b/>
          <w:bCs/>
          <w:color w:val="2E75B6"/>
          <w:sz w:val="18"/>
          <w:szCs w:val="18"/>
        </w:rPr>
        <w:t>CONTROL</w:t>
      </w:r>
    </w:p>
    <w:p w:rsidR="00C87717" w:rsidRDefault="00000000">
      <w:pPr>
        <w:spacing w:after="160" w:line="300" w:lineRule="auto"/>
      </w:pPr>
      <w:r>
        <w:rPr>
          <w:color w:val="555555"/>
        </w:rPr>
        <w:t xml:space="preserve">AI agents must not be able to take destructive or unauthorized actions autonomously. </w:t>
      </w:r>
      <w:r w:rsidR="009F556C">
        <w:rPr>
          <w:color w:val="555555"/>
        </w:rPr>
        <w:t>AAA</w:t>
      </w:r>
      <w:r>
        <w:rPr>
          <w:color w:val="555555"/>
        </w:rPr>
        <w:t xml:space="preserve"> implements a defense-in-depth guardrail system that operates at two layers simultaneously.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8771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Layer</w:t>
            </w:r>
          </w:p>
        </w:tc>
        <w:tc>
          <w:tcPr>
            <w:tcW w:w="67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Description</w:t>
            </w:r>
          </w:p>
        </w:tc>
      </w:tr>
      <w:tr w:rsidR="00C8771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Rule-Based Steering (In-Context)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The agent’s own instructions explicitly define what it can and cannot do. Enforced via tool-permissions.md in the steering rules. This is the first line of defense.</w:t>
            </w:r>
          </w:p>
        </w:tc>
      </w:tr>
      <w:tr w:rsidR="00C8771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MCP Gateway (Runtime Enforcement)</w:t>
            </w:r>
          </w:p>
        </w:tc>
        <w:tc>
          <w:tcPr>
            <w:tcW w:w="67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A policy-enforcing proxy sits between the agent and all downstream systems. Even if an agent tried to bypass its steering instructions, the gateway rejects unauthorized calls. Every call is logged.</w:t>
            </w:r>
          </w:p>
        </w:tc>
      </w:tr>
    </w:tbl>
    <w:p w:rsidR="00C87717" w:rsidRDefault="00C87717">
      <w:pPr>
        <w:spacing w:after="80"/>
      </w:pPr>
    </w:p>
    <w:p w:rsidR="00C87717" w:rsidRDefault="00000000">
      <w:pPr>
        <w:spacing w:after="160" w:line="300" w:lineRule="auto"/>
      </w:pPr>
      <w:r>
        <w:rPr>
          <w:color w:val="555555"/>
        </w:rPr>
        <w:lastRenderedPageBreak/>
        <w:t>The gateway evaluates every tool call against the permission matrix and routes it to one of three outcomes:</w:t>
      </w:r>
    </w:p>
    <w:p w:rsidR="00C87717" w:rsidRDefault="00000000">
      <w:pPr>
        <w:pStyle w:val="ListParagraph"/>
        <w:numPr>
          <w:ilvl w:val="0"/>
          <w:numId w:val="2"/>
        </w:numPr>
        <w:spacing w:after="80" w:line="280" w:lineRule="auto"/>
      </w:pPr>
      <w:r>
        <w:rPr>
          <w:b/>
          <w:bCs/>
          <w:color w:val="2C3E50"/>
        </w:rPr>
        <w:t xml:space="preserve">ALLOW — </w:t>
      </w:r>
      <w:r>
        <w:rPr>
          <w:color w:val="555555"/>
        </w:rPr>
        <w:t>Operation executes immediately. Logged for audit. Used for read operations and low-risk writes the persona is authorized for.</w:t>
      </w:r>
    </w:p>
    <w:p w:rsidR="00C87717" w:rsidRDefault="00000000">
      <w:pPr>
        <w:pStyle w:val="ListParagraph"/>
        <w:numPr>
          <w:ilvl w:val="0"/>
          <w:numId w:val="2"/>
        </w:numPr>
        <w:spacing w:after="80" w:line="280" w:lineRule="auto"/>
      </w:pPr>
      <w:r>
        <w:rPr>
          <w:b/>
          <w:bCs/>
          <w:color w:val="2C3E50"/>
        </w:rPr>
        <w:t xml:space="preserve">APPROVE — </w:t>
      </w:r>
      <w:r>
        <w:rPr>
          <w:color w:val="555555"/>
        </w:rPr>
        <w:t>Operation is paused. An approval request is created and routed to the appropriate approver via the IDP UI. The agent returns the request link to the user. Once approved, the operation executes.</w:t>
      </w:r>
    </w:p>
    <w:p w:rsidR="00C87717" w:rsidRDefault="00000000">
      <w:pPr>
        <w:pStyle w:val="ListParagraph"/>
        <w:numPr>
          <w:ilvl w:val="0"/>
          <w:numId w:val="2"/>
        </w:numPr>
        <w:spacing w:after="80" w:line="280" w:lineRule="auto"/>
      </w:pPr>
      <w:r>
        <w:rPr>
          <w:b/>
          <w:bCs/>
          <w:color w:val="2C3E50"/>
        </w:rPr>
        <w:t xml:space="preserve">DENY — </w:t>
      </w:r>
      <w:r>
        <w:rPr>
          <w:color w:val="555555"/>
        </w:rPr>
        <w:t>Operation is rejected outright. The persona does not have access to this capability regardless of approval.</w:t>
      </w:r>
    </w:p>
    <w:p w:rsidR="00C87717" w:rsidRDefault="00000000">
      <w:r>
        <w:br w:type="page"/>
      </w:r>
    </w:p>
    <w:p w:rsidR="00C87717" w:rsidRDefault="00000000">
      <w:pPr>
        <w:pStyle w:val="Heading2"/>
      </w:pPr>
      <w:r>
        <w:lastRenderedPageBreak/>
        <w:t>Goal 3 — IDP Onboarding Skills</w:t>
      </w:r>
    </w:p>
    <w:p w:rsidR="00C87717" w:rsidRDefault="00000000">
      <w:pPr>
        <w:spacing w:after="80"/>
      </w:pPr>
      <w:r>
        <w:rPr>
          <w:b/>
          <w:bCs/>
          <w:color w:val="2E75B6"/>
          <w:sz w:val="18"/>
          <w:szCs w:val="18"/>
        </w:rPr>
        <w:t>ONBOARDING</w:t>
      </w:r>
    </w:p>
    <w:p w:rsidR="00C87717" w:rsidRDefault="00000000">
      <w:pPr>
        <w:spacing w:after="160" w:line="300" w:lineRule="auto"/>
      </w:pPr>
      <w:r>
        <w:rPr>
          <w:color w:val="555555"/>
        </w:rPr>
        <w:t>One of the highest-friction activities is onboarding a new service, which includes creating repos, provisioning infrastructure, registering in catalogs, and configuring pipelines. AI-DLC’s IDP skills make this agent-driven, governed, and repeatable.</w:t>
      </w:r>
    </w:p>
    <w:p w:rsidR="00C87717" w:rsidRDefault="00000000">
      <w:pPr>
        <w:spacing w:after="160" w:line="300" w:lineRule="auto"/>
      </w:pPr>
      <w:r>
        <w:rPr>
          <w:color w:val="555555"/>
        </w:rPr>
        <w:t xml:space="preserve">A dedicated IDP MCP server acts as the integration bridge between AI agents and </w:t>
      </w:r>
      <w:r w:rsidR="004F1363">
        <w:rPr>
          <w:color w:val="555555"/>
        </w:rPr>
        <w:t>XXX</w:t>
      </w:r>
      <w:r>
        <w:rPr>
          <w:color w:val="555555"/>
        </w:rPr>
        <w:t>’s Internal Developer Platform. Instead of developers manually running CLI commands and scripts, the agent orchestrates the entire onboarding sequence through the same approval workflow that governs all agent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771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EBF5FB"/>
            <w:tcMar>
              <w:top w:w="120" w:type="dxa"/>
              <w:left w:w="200" w:type="dxa"/>
              <w:bottom w:w="120" w:type="dxa"/>
              <w:right w:w="200" w:type="dxa"/>
            </w:tcMar>
          </w:tcPr>
          <w:p w:rsidR="00C87717" w:rsidRDefault="00000000">
            <w:pPr>
              <w:spacing w:after="80"/>
            </w:pPr>
            <w:r>
              <w:rPr>
                <w:b/>
                <w:bCs/>
                <w:color w:val="2E75B6"/>
              </w:rPr>
              <w:t>Why a dedicated IDP MCP server?</w:t>
            </w:r>
          </w:p>
          <w:p w:rsidR="00C87717" w:rsidRDefault="00000000">
            <w:r>
              <w:rPr>
                <w:color w:val="2C3E50"/>
                <w:sz w:val="20"/>
                <w:szCs w:val="20"/>
              </w:rPr>
              <w:t xml:space="preserve">The IDP server abstracts away the complexity of </w:t>
            </w:r>
            <w:r w:rsidR="004F1363">
              <w:rPr>
                <w:color w:val="2C3E50"/>
                <w:sz w:val="20"/>
                <w:szCs w:val="20"/>
              </w:rPr>
              <w:t>XXX</w:t>
            </w:r>
            <w:r>
              <w:rPr>
                <w:color w:val="2C3E50"/>
                <w:sz w:val="20"/>
                <w:szCs w:val="20"/>
              </w:rPr>
              <w:t xml:space="preserve">’s platform tooling behind a clean, versioned interface. Whether </w:t>
            </w:r>
            <w:r w:rsidR="004F1363">
              <w:rPr>
                <w:color w:val="2C3E50"/>
                <w:sz w:val="20"/>
                <w:szCs w:val="20"/>
              </w:rPr>
              <w:t>XXX</w:t>
            </w:r>
            <w:r>
              <w:rPr>
                <w:color w:val="2C3E50"/>
                <w:sz w:val="20"/>
                <w:szCs w:val="20"/>
              </w:rPr>
              <w:t xml:space="preserve"> uses Backstage, Harness, or a custom CLI, the agent’s interaction model stays the same. Swapping IDP platforms requires only updating the MCP server, not every agent configuration.</w:t>
            </w:r>
          </w:p>
        </w:tc>
      </w:tr>
    </w:tbl>
    <w:p w:rsidR="00C87717" w:rsidRDefault="00C87717">
      <w:pPr>
        <w:spacing w:after="80"/>
      </w:pPr>
    </w:p>
    <w:p w:rsidR="00C87717" w:rsidRDefault="00000000">
      <w:pPr>
        <w:spacing w:after="160" w:line="300" w:lineRule="auto"/>
      </w:pPr>
      <w:r>
        <w:rPr>
          <w:color w:val="555555"/>
        </w:rPr>
        <w:t>The onboarding sequence follows four governed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6960"/>
      </w:tblGrid>
      <w:tr w:rsidR="00C8771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Action</w:t>
            </w:r>
          </w:p>
        </w:tc>
        <w:tc>
          <w:tcPr>
            <w:tcW w:w="69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What Happens</w:t>
            </w:r>
          </w:p>
        </w:tc>
      </w:tr>
      <w:tr w:rsidR="00C8771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Discover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Agent queries the IDP for available golden path templates matching the service requirements.</w:t>
            </w:r>
          </w:p>
        </w:tc>
      </w:tr>
      <w:tr w:rsidR="00C8771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Scaffold</w:t>
            </w:r>
          </w:p>
        </w:tc>
        <w:tc>
          <w:tcPr>
            <w:tcW w:w="69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Agent creates the service repository, CI/CD pipeline, and documentation stubs from the selected template (approval required).</w:t>
            </w:r>
          </w:p>
        </w:tc>
      </w:tr>
      <w:tr w:rsidR="00C8771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Register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Agent registers the new service in the CMDB/service catalog with owner, dependencies, and metadata (approval required).</w:t>
            </w:r>
          </w:p>
        </w:tc>
      </w:tr>
      <w:tr w:rsidR="00C8771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Provision</w:t>
            </w:r>
          </w:p>
        </w:tc>
        <w:tc>
          <w:tcPr>
            <w:tcW w:w="69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 xml:space="preserve">Agent provisions the development environment via </w:t>
            </w:r>
            <w:proofErr w:type="spellStart"/>
            <w:r>
              <w:rPr>
                <w:color w:val="555555"/>
                <w:sz w:val="20"/>
                <w:szCs w:val="20"/>
              </w:rPr>
              <w:t>IaC</w:t>
            </w:r>
            <w:proofErr w:type="spellEnd"/>
            <w:r>
              <w:rPr>
                <w:color w:val="555555"/>
                <w:sz w:val="20"/>
                <w:szCs w:val="20"/>
              </w:rPr>
              <w:t>. Staging and production require escalated approval.</w:t>
            </w:r>
          </w:p>
        </w:tc>
      </w:tr>
    </w:tbl>
    <w:p w:rsidR="00C87717" w:rsidRDefault="00C87717">
      <w:pPr>
        <w:spacing w:after="200"/>
      </w:pPr>
    </w:p>
    <w:p w:rsidR="00C87717" w:rsidRDefault="00000000">
      <w:pPr>
        <w:pStyle w:val="Heading2"/>
      </w:pPr>
      <w:r>
        <w:t>Goal 4 — PDLC Tool Integration</w:t>
      </w:r>
    </w:p>
    <w:p w:rsidR="00C87717" w:rsidRDefault="00000000">
      <w:pPr>
        <w:spacing w:after="80"/>
      </w:pPr>
      <w:r>
        <w:rPr>
          <w:b/>
          <w:bCs/>
          <w:color w:val="2E75B6"/>
          <w:sz w:val="18"/>
          <w:szCs w:val="18"/>
        </w:rPr>
        <w:t>CONNECTIVITY</w:t>
      </w:r>
    </w:p>
    <w:p w:rsidR="00C87717" w:rsidRDefault="00000000">
      <w:pPr>
        <w:spacing w:after="160" w:line="300" w:lineRule="auto"/>
      </w:pPr>
      <w:r>
        <w:rPr>
          <w:color w:val="555555"/>
        </w:rPr>
        <w:t xml:space="preserve">Full connectivity between AI-DLC agents and </w:t>
      </w:r>
      <w:r w:rsidR="002E75E3">
        <w:rPr>
          <w:color w:val="555555"/>
        </w:rPr>
        <w:t>XXX</w:t>
      </w:r>
      <w:r>
        <w:rPr>
          <w:color w:val="555555"/>
        </w:rPr>
        <w:t>’s existing toolchain: Jira, Confluence, GitHub, CMDB, and more — through a standardized integration layer. All integrations flow through the MCP Gateway, ensuring uniform authentication, authorization, and audit logging regardless of the downstream system.</w:t>
      </w:r>
    </w:p>
    <w:p w:rsidR="00C87717" w:rsidRDefault="00000000">
      <w:pPr>
        <w:spacing w:after="160" w:line="300" w:lineRule="auto"/>
      </w:pPr>
      <w:r>
        <w:rPr>
          <w:color w:val="555555"/>
        </w:rPr>
        <w:t>The integration layer consists of two groups of MCP servers, all behind the gateway: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8771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PDLC Tools</w:t>
            </w:r>
          </w:p>
        </w:tc>
        <w:tc>
          <w:tcPr>
            <w:tcW w:w="46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Governance &amp; Control</w:t>
            </w:r>
          </w:p>
        </w:tc>
      </w:tr>
      <w:tr w:rsidR="00C8771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color w:val="555555"/>
                <w:sz w:val="20"/>
                <w:szCs w:val="20"/>
              </w:rPr>
              <w:t>jira-mcp</w:t>
            </w:r>
            <w:proofErr w:type="spellEnd"/>
            <w:r>
              <w:rPr>
                <w:color w:val="555555"/>
                <w:sz w:val="20"/>
                <w:szCs w:val="20"/>
              </w:rPr>
              <w:t xml:space="preserve"> — Issue search, creation, transitions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approval-</w:t>
            </w:r>
            <w:proofErr w:type="spellStart"/>
            <w:r>
              <w:rPr>
                <w:color w:val="555555"/>
                <w:sz w:val="20"/>
                <w:szCs w:val="20"/>
              </w:rPr>
              <w:t>mcp</w:t>
            </w:r>
            <w:proofErr w:type="spellEnd"/>
            <w:r>
              <w:rPr>
                <w:color w:val="555555"/>
                <w:sz w:val="20"/>
                <w:szCs w:val="20"/>
              </w:rPr>
              <w:t xml:space="preserve"> — Approval request lifecycle</w:t>
            </w:r>
          </w:p>
        </w:tc>
      </w:tr>
      <w:tr w:rsidR="00C8771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confluence-</w:t>
            </w:r>
            <w:proofErr w:type="spellStart"/>
            <w:r>
              <w:rPr>
                <w:color w:val="555555"/>
                <w:sz w:val="20"/>
                <w:szCs w:val="20"/>
              </w:rPr>
              <w:t>mcp</w:t>
            </w:r>
            <w:proofErr w:type="spellEnd"/>
            <w:r>
              <w:rPr>
                <w:color w:val="555555"/>
                <w:sz w:val="20"/>
                <w:szCs w:val="20"/>
              </w:rPr>
              <w:t xml:space="preserve"> — Page read/write, search</w:t>
            </w:r>
          </w:p>
        </w:tc>
        <w:tc>
          <w:tcPr>
            <w:tcW w:w="468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proofErr w:type="spellStart"/>
            <w:r>
              <w:rPr>
                <w:color w:val="555555"/>
                <w:sz w:val="20"/>
                <w:szCs w:val="20"/>
              </w:rPr>
              <w:t>idp-mcp</w:t>
            </w:r>
            <w:proofErr w:type="spellEnd"/>
            <w:r>
              <w:rPr>
                <w:color w:val="555555"/>
                <w:sz w:val="20"/>
                <w:szCs w:val="20"/>
              </w:rPr>
              <w:t xml:space="preserve"> — Service onboarding, templates</w:t>
            </w:r>
          </w:p>
        </w:tc>
      </w:tr>
      <w:tr w:rsidR="00C8771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color w:val="555555"/>
                <w:sz w:val="20"/>
                <w:szCs w:val="20"/>
              </w:rPr>
              <w:lastRenderedPageBreak/>
              <w:t>github-mcp</w:t>
            </w:r>
            <w:proofErr w:type="spellEnd"/>
            <w:r>
              <w:rPr>
                <w:color w:val="555555"/>
                <w:sz w:val="20"/>
                <w:szCs w:val="20"/>
              </w:rPr>
              <w:t xml:space="preserve"> — Repos, PRs, code search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audit-</w:t>
            </w:r>
            <w:proofErr w:type="spellStart"/>
            <w:r>
              <w:rPr>
                <w:color w:val="555555"/>
                <w:sz w:val="20"/>
                <w:szCs w:val="20"/>
              </w:rPr>
              <w:t>mcp</w:t>
            </w:r>
            <w:proofErr w:type="spellEnd"/>
            <w:r>
              <w:rPr>
                <w:color w:val="555555"/>
                <w:sz w:val="20"/>
                <w:szCs w:val="20"/>
              </w:rPr>
              <w:t xml:space="preserve"> — Structured audit logging</w:t>
            </w:r>
          </w:p>
        </w:tc>
      </w:tr>
      <w:tr w:rsidR="00C8771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proofErr w:type="spellStart"/>
            <w:r>
              <w:rPr>
                <w:color w:val="555555"/>
                <w:sz w:val="20"/>
                <w:szCs w:val="20"/>
              </w:rPr>
              <w:t>cmdb-mcp</w:t>
            </w:r>
            <w:proofErr w:type="spellEnd"/>
            <w:r>
              <w:rPr>
                <w:color w:val="555555"/>
                <w:sz w:val="20"/>
                <w:szCs w:val="20"/>
              </w:rPr>
              <w:t xml:space="preserve"> — Service registry (ServiceNow)</w:t>
            </w:r>
          </w:p>
        </w:tc>
        <w:tc>
          <w:tcPr>
            <w:tcW w:w="468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policy-</w:t>
            </w:r>
            <w:proofErr w:type="spellStart"/>
            <w:r>
              <w:rPr>
                <w:color w:val="555555"/>
                <w:sz w:val="20"/>
                <w:szCs w:val="20"/>
              </w:rPr>
              <w:t>mcp</w:t>
            </w:r>
            <w:proofErr w:type="spellEnd"/>
            <w:r>
              <w:rPr>
                <w:color w:val="555555"/>
                <w:sz w:val="20"/>
                <w:szCs w:val="20"/>
              </w:rPr>
              <w:t xml:space="preserve"> — Permission matrix serving</w:t>
            </w:r>
          </w:p>
        </w:tc>
      </w:tr>
      <w:tr w:rsidR="00C8771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harness-</w:t>
            </w:r>
            <w:proofErr w:type="spellStart"/>
            <w:r>
              <w:rPr>
                <w:color w:val="555555"/>
                <w:sz w:val="20"/>
                <w:szCs w:val="20"/>
              </w:rPr>
              <w:t>mcp</w:t>
            </w:r>
            <w:proofErr w:type="spellEnd"/>
            <w:r>
              <w:rPr>
                <w:color w:val="555555"/>
                <w:sz w:val="20"/>
                <w:szCs w:val="20"/>
              </w:rPr>
              <w:t xml:space="preserve"> — CI/CD pipeline management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C87717"/>
        </w:tc>
      </w:tr>
    </w:tbl>
    <w:p w:rsidR="00C87717" w:rsidRDefault="00000000">
      <w:r>
        <w:br w:type="page"/>
      </w:r>
    </w:p>
    <w:p w:rsidR="00C87717" w:rsidRDefault="00000000">
      <w:pPr>
        <w:pStyle w:val="Heading1"/>
      </w:pPr>
      <w:r>
        <w:lastRenderedPageBreak/>
        <w:t>Architecture</w:t>
      </w:r>
    </w:p>
    <w:p w:rsidR="00C87717" w:rsidRDefault="00000000">
      <w:pPr>
        <w:spacing w:after="160" w:line="300" w:lineRule="auto"/>
      </w:pPr>
      <w:r>
        <w:rPr>
          <w:color w:val="555555"/>
        </w:rPr>
        <w:t>We present two architecture options for review. Both share the same three-tier steering rules, MCP Gateway, and downstream integrations. They differ in how agents and humans connect to the platform.</w:t>
      </w:r>
    </w:p>
    <w:p w:rsidR="00C87717" w:rsidRDefault="00C87717">
      <w:pPr>
        <w:spacing w:after="80"/>
      </w:pPr>
    </w:p>
    <w:p w:rsidR="00C87717" w:rsidRDefault="00000000">
      <w:pPr>
        <w:pStyle w:val="Heading2"/>
      </w:pPr>
      <w:r>
        <w:t>Option A: Direct Agent → Gateway (Simplified)</w:t>
      </w:r>
    </w:p>
    <w:p w:rsidR="00C87717" w:rsidRDefault="00000000">
      <w:pPr>
        <w:spacing w:after="160" w:line="300" w:lineRule="auto"/>
      </w:pPr>
      <w:r>
        <w:rPr>
          <w:color w:val="555555"/>
        </w:rPr>
        <w:t xml:space="preserve">In this option, AI agents connect directly to the MCP Gateway via tool calls. A separate Org CLI provides a human/CI/CD interface that also routes through the gateway. The steering rules </w:t>
      </w:r>
      <w:proofErr w:type="gramStart"/>
      <w:r>
        <w:rPr>
          <w:color w:val="555555"/>
        </w:rPr>
        <w:t>(.</w:t>
      </w:r>
      <w:proofErr w:type="spellStart"/>
      <w:r>
        <w:rPr>
          <w:color w:val="555555"/>
        </w:rPr>
        <w:t>aidlc</w:t>
      </w:r>
      <w:proofErr w:type="spellEnd"/>
      <w:proofErr w:type="gramEnd"/>
      <w:r>
        <w:rPr>
          <w:color w:val="555555"/>
        </w:rPr>
        <w:t xml:space="preserve">/) are stored in three tiers in Git: Tier 1 is the AI-DLC core workflow (from the open-source </w:t>
      </w:r>
      <w:proofErr w:type="spellStart"/>
      <w:r>
        <w:rPr>
          <w:color w:val="555555"/>
        </w:rPr>
        <w:t>awslabs</w:t>
      </w:r>
      <w:proofErr w:type="spellEnd"/>
      <w:r>
        <w:rPr>
          <w:color w:val="555555"/>
        </w:rPr>
        <w:t>/</w:t>
      </w:r>
      <w:proofErr w:type="spellStart"/>
      <w:r>
        <w:rPr>
          <w:color w:val="555555"/>
        </w:rPr>
        <w:t>aidlc</w:t>
      </w:r>
      <w:proofErr w:type="spellEnd"/>
      <w:r>
        <w:rPr>
          <w:color w:val="555555"/>
        </w:rPr>
        <w:t>-workflows), Tier 2 contains organization-level personas, SOPs, guardrails, and IDP skills, and Tier 3 holds project-specific overrides.</w:t>
      </w:r>
    </w:p>
    <w:p w:rsidR="00C87717" w:rsidRDefault="00000000">
      <w:pPr>
        <w:spacing w:after="160" w:line="300" w:lineRule="auto"/>
      </w:pPr>
      <w:r>
        <w:rPr>
          <w:color w:val="555555"/>
        </w:rPr>
        <w:t>The MCP Gateway performs four functions in sequence: authentication/authorization (via Okta SSO), permission checking (against the persona-tool matrix), approval routing (for gated operations), and audit logging (every action to CloudWatch). Allowed operations flow directly to the downstream PDLC and IDP MCP servers. Operations requiring approval are routed to the approval-</w:t>
      </w:r>
      <w:proofErr w:type="spellStart"/>
      <w:r>
        <w:rPr>
          <w:color w:val="555555"/>
        </w:rPr>
        <w:t>mcp</w:t>
      </w:r>
      <w:proofErr w:type="spellEnd"/>
      <w:r>
        <w:rPr>
          <w:color w:val="555555"/>
        </w:rPr>
        <w:t>, which surfaces them in the IDP UI for human review.</w:t>
      </w:r>
    </w:p>
    <w:p w:rsidR="00C87717" w:rsidRDefault="00000000">
      <w:pPr>
        <w:spacing w:after="160" w:line="300" w:lineRule="auto"/>
      </w:pPr>
      <w:r>
        <w:rPr>
          <w:b/>
          <w:bCs/>
          <w:color w:val="2C3E50"/>
        </w:rPr>
        <w:t xml:space="preserve">Advantages: </w:t>
      </w:r>
      <w:r>
        <w:rPr>
          <w:color w:val="555555"/>
        </w:rPr>
        <w:t>Simpler architecture, fewer components. Agents use MCP natively with typed inputs/outputs. Clear separation between agent interface and human interface.</w:t>
      </w:r>
    </w:p>
    <w:p w:rsidR="00C87717" w:rsidRDefault="00000000">
      <w:pPr>
        <w:spacing w:after="160" w:line="300" w:lineRule="auto"/>
      </w:pPr>
      <w:r>
        <w:rPr>
          <w:b/>
          <w:bCs/>
          <w:color w:val="2C3E50"/>
        </w:rPr>
        <w:t xml:space="preserve">Trade-offs: </w:t>
      </w:r>
      <w:r>
        <w:rPr>
          <w:color w:val="555555"/>
        </w:rPr>
        <w:t>Agents that lack mature MCP client support cannot participate. The CLI and MCP paths are separate codebases that must be kept in sync.</w:t>
      </w:r>
    </w:p>
    <w:p w:rsidR="00C87717" w:rsidRDefault="00C87717">
      <w:pPr>
        <w:spacing w:after="120"/>
      </w:pPr>
    </w:p>
    <w:p w:rsidR="00C87717" w:rsidRDefault="00000000">
      <w:pPr>
        <w:pStyle w:val="Heading2"/>
      </w:pPr>
      <w:r>
        <w:t>Option B: Unified org-cli (Dual-Mode Binary) — Recommended</w:t>
      </w:r>
    </w:p>
    <w:p w:rsidR="00C87717" w:rsidRDefault="00000000">
      <w:pPr>
        <w:spacing w:after="160" w:line="300" w:lineRule="auto"/>
      </w:pPr>
      <w:r>
        <w:rPr>
          <w:color w:val="555555"/>
        </w:rPr>
        <w:t xml:space="preserve">In this option, a single binary (org-cli) serves as the unified interface for both AI agents and humans. When invoked as “org-cli </w:t>
      </w:r>
      <w:proofErr w:type="spellStart"/>
      <w:r>
        <w:rPr>
          <w:color w:val="555555"/>
        </w:rPr>
        <w:t>mcp</w:t>
      </w:r>
      <w:proofErr w:type="spellEnd"/>
      <w:r>
        <w:rPr>
          <w:color w:val="555555"/>
        </w:rPr>
        <w:t xml:space="preserve">-serve,” it runs as a long-lived MCP server that agents connect to via </w:t>
      </w:r>
      <w:proofErr w:type="spellStart"/>
      <w:r>
        <w:rPr>
          <w:color w:val="555555"/>
        </w:rPr>
        <w:t>stdio</w:t>
      </w:r>
      <w:proofErr w:type="spellEnd"/>
      <w:r>
        <w:rPr>
          <w:color w:val="555555"/>
        </w:rPr>
        <w:t xml:space="preserve"> or SSE. When invoked as “org-cli &lt;command&gt;,” it runs as a traditional CLI for human developers and CI/CD pipelines. Both modes share the same core engine: command handlers, policy engine, gateway client, and audit logger.</w:t>
      </w:r>
    </w:p>
    <w:p w:rsidR="00C87717" w:rsidRDefault="00000000">
      <w:pPr>
        <w:spacing w:after="160" w:line="300" w:lineRule="auto"/>
      </w:pPr>
      <w:r>
        <w:rPr>
          <w:color w:val="555555"/>
        </w:rPr>
        <w:t>The steering rules tell agents about the org-cli MCP server and its available tools. Agents with native MCP support (</w:t>
      </w:r>
      <w:proofErr w:type="spellStart"/>
      <w:r>
        <w:rPr>
          <w:color w:val="555555"/>
        </w:rPr>
        <w:t>Kiro</w:t>
      </w:r>
      <w:proofErr w:type="spellEnd"/>
      <w:r>
        <w:rPr>
          <w:color w:val="555555"/>
        </w:rPr>
        <w:t>, Claude Code) connect via MCP protocol for structured input/output. Agents without MCP support (or CI/CD pipelines) can fall back to running org-cli commands via bash — same operations, same policy, same audit trail.</w:t>
      </w:r>
    </w:p>
    <w:p w:rsidR="00C87717" w:rsidRDefault="00000000">
      <w:pPr>
        <w:spacing w:after="160" w:line="300" w:lineRule="auto"/>
      </w:pPr>
      <w:r>
        <w:rPr>
          <w:b/>
          <w:bCs/>
          <w:color w:val="2C3E50"/>
        </w:rPr>
        <w:t xml:space="preserve">Advantages: </w:t>
      </w:r>
      <w:r>
        <w:rPr>
          <w:color w:val="555555"/>
        </w:rPr>
        <w:t>One codebase, one policy engine. Universal agent compatibility (MCP or bash fallback). Developers can manually test any flow the agent uses. Zero drift between human and agent interfaces.</w:t>
      </w:r>
    </w:p>
    <w:p w:rsidR="00C87717" w:rsidRDefault="00000000">
      <w:pPr>
        <w:spacing w:after="160" w:line="300" w:lineRule="auto"/>
      </w:pPr>
      <w:r>
        <w:rPr>
          <w:b/>
          <w:bCs/>
          <w:color w:val="2C3E50"/>
        </w:rPr>
        <w:lastRenderedPageBreak/>
        <w:t xml:space="preserve">Trade-offs: </w:t>
      </w:r>
      <w:r>
        <w:rPr>
          <w:color w:val="555555"/>
        </w:rPr>
        <w:t>More complex initial build. The org-cli becomes a critical path component that requires high reliability and versioning discipline.</w:t>
      </w:r>
    </w:p>
    <w:p w:rsidR="00C87717" w:rsidRDefault="00C877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771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EBF5FB"/>
            <w:tcMar>
              <w:top w:w="120" w:type="dxa"/>
              <w:left w:w="200" w:type="dxa"/>
              <w:bottom w:w="120" w:type="dxa"/>
              <w:right w:w="200" w:type="dxa"/>
            </w:tcMar>
          </w:tcPr>
          <w:p w:rsidR="00C87717" w:rsidRDefault="00000000">
            <w:pPr>
              <w:spacing w:after="80"/>
            </w:pPr>
            <w:r>
              <w:rPr>
                <w:b/>
                <w:bCs/>
                <w:color w:val="2E75B6"/>
              </w:rPr>
              <w:t>Recommendation</w:t>
            </w:r>
          </w:p>
          <w:p w:rsidR="00C87717" w:rsidRDefault="00000000">
            <w:r>
              <w:rPr>
                <w:color w:val="2C3E50"/>
                <w:sz w:val="20"/>
                <w:szCs w:val="20"/>
              </w:rPr>
              <w:t>Option B (unified org-cli) is recommended. The single-binary approach eliminates the integration seam between agent and human interfaces, reduces maintenance burden, and ensures policy consistency. The initial complexity pays for itself by week 4 when both interfaces ship from the same CI pipeline.</w:t>
            </w:r>
          </w:p>
        </w:tc>
      </w:tr>
    </w:tbl>
    <w:p w:rsidR="00C87717" w:rsidRDefault="00000000">
      <w:r>
        <w:br w:type="page"/>
      </w:r>
    </w:p>
    <w:p w:rsidR="00C87717" w:rsidRDefault="00000000">
      <w:pPr>
        <w:pStyle w:val="Heading1"/>
      </w:pPr>
      <w:r>
        <w:lastRenderedPageBreak/>
        <w:t>Audit Trail &amp; Compliance</w:t>
      </w:r>
    </w:p>
    <w:p w:rsidR="00C87717" w:rsidRDefault="00000000">
      <w:pPr>
        <w:spacing w:after="160" w:line="300" w:lineRule="auto"/>
      </w:pPr>
      <w:r>
        <w:rPr>
          <w:color w:val="555555"/>
        </w:rPr>
        <w:t>Every agent action is logged with full context to CloudWatch and surfaced in the IDP dashboard. Each audit entry captures: timestamp, session ID, active persona, user identity, IDE/agent in use, AI-DLC phase and stage, the action attempted, the permission level applied, approval request ID (if applicable), approval status and approver, the request payload and response, and execution duration.</w:t>
      </w:r>
    </w:p>
    <w:p w:rsidR="00C87717" w:rsidRDefault="00000000">
      <w:pPr>
        <w:spacing w:after="160" w:line="300" w:lineRule="auto"/>
      </w:pPr>
      <w:r>
        <w:rPr>
          <w:color w:val="555555"/>
        </w:rPr>
        <w:t>The IDP dashboard provides real-time visibility into active AI-DLC sessions, pending approval requests with SLA tracking, tool call frequency by persona, policy violation attempts (denied actions), and cost attribution per session and project. This gives leadership a complete view of how AI agents are operating within the organization — not just what they produced, but how they produced it, who authorized it, and whether it followed the rules.</w:t>
      </w:r>
    </w:p>
    <w:p w:rsidR="00C87717" w:rsidRDefault="00C87717">
      <w:pPr>
        <w:spacing w:after="120"/>
      </w:pPr>
    </w:p>
    <w:p w:rsidR="00C87717" w:rsidRDefault="00000000">
      <w:pPr>
        <w:pStyle w:val="Heading1"/>
      </w:pPr>
      <w:r>
        <w:t>Implementation Roadmap</w:t>
      </w:r>
    </w:p>
    <w:p w:rsidR="00C87717" w:rsidRDefault="00000000">
      <w:pPr>
        <w:spacing w:after="160" w:line="300" w:lineRule="auto"/>
      </w:pPr>
      <w:r>
        <w:rPr>
          <w:color w:val="555555"/>
        </w:rPr>
        <w:t>The plan delivers all four goals in 16 weeks across four phases, with each phase producing deployable, demonstrable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Timeline</w:t>
            </w:r>
          </w:p>
        </w:tc>
        <w:tc>
          <w:tcPr>
            <w:tcW w:w="5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Deliverables</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Foundation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Weeks 1–4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 xml:space="preserve">Fork </w:t>
            </w:r>
            <w:proofErr w:type="spellStart"/>
            <w:r>
              <w:rPr>
                <w:color w:val="555555"/>
                <w:sz w:val="20"/>
                <w:szCs w:val="20"/>
              </w:rPr>
              <w:t>aidlc</w:t>
            </w:r>
            <w:proofErr w:type="spellEnd"/>
            <w:r>
              <w:rPr>
                <w:color w:val="555555"/>
                <w:sz w:val="20"/>
                <w:szCs w:val="20"/>
              </w:rPr>
              <w:t xml:space="preserve">-workflows, </w:t>
            </w:r>
            <w:proofErr w:type="gramStart"/>
            <w:r>
              <w:rPr>
                <w:color w:val="555555"/>
                <w:sz w:val="20"/>
                <w:szCs w:val="20"/>
              </w:rPr>
              <w:t>create .</w:t>
            </w:r>
            <w:proofErr w:type="spellStart"/>
            <w:r>
              <w:rPr>
                <w:color w:val="555555"/>
                <w:sz w:val="20"/>
                <w:szCs w:val="20"/>
              </w:rPr>
              <w:t>aidlc</w:t>
            </w:r>
            <w:proofErr w:type="spellEnd"/>
            <w:proofErr w:type="gramEnd"/>
            <w:r>
              <w:rPr>
                <w:color w:val="555555"/>
                <w:sz w:val="20"/>
                <w:szCs w:val="20"/>
              </w:rPr>
              <w:t>/ structure, build sync.sh, define 2 personas (architect, developer), write core standards, set up CloudWatch audit.</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Guardrails</w:t>
            </w:r>
          </w:p>
        </w:tc>
        <w:tc>
          <w:tcPr>
            <w:tcW w:w="22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Weeks 5–8</w:t>
            </w:r>
          </w:p>
        </w:tc>
        <w:tc>
          <w:tcPr>
            <w:tcW w:w="55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Build approval-</w:t>
            </w:r>
            <w:proofErr w:type="spellStart"/>
            <w:r>
              <w:rPr>
                <w:color w:val="555555"/>
                <w:sz w:val="20"/>
                <w:szCs w:val="20"/>
              </w:rPr>
              <w:t>mcp</w:t>
            </w:r>
            <w:proofErr w:type="spellEnd"/>
            <w:r>
              <w:rPr>
                <w:color w:val="555555"/>
                <w:sz w:val="20"/>
                <w:szCs w:val="20"/>
              </w:rPr>
              <w:t>, build MCP gateway, define permission matrix, integrate IDP UI for approval routing, build audit-</w:t>
            </w:r>
            <w:proofErr w:type="spellStart"/>
            <w:r>
              <w:rPr>
                <w:color w:val="555555"/>
                <w:sz w:val="20"/>
                <w:szCs w:val="20"/>
              </w:rPr>
              <w:t>mcp</w:t>
            </w:r>
            <w:proofErr w:type="spellEnd"/>
            <w:r>
              <w:rPr>
                <w:color w:val="555555"/>
                <w:sz w:val="20"/>
                <w:szCs w:val="20"/>
              </w:rPr>
              <w:t>, pilot with 1 team.</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IDP Integration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Weeks 9–12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 xml:space="preserve">Build </w:t>
            </w:r>
            <w:proofErr w:type="spellStart"/>
            <w:r>
              <w:rPr>
                <w:color w:val="555555"/>
                <w:sz w:val="20"/>
                <w:szCs w:val="20"/>
              </w:rPr>
              <w:t>idp-mcp</w:t>
            </w:r>
            <w:proofErr w:type="spellEnd"/>
            <w:r>
              <w:rPr>
                <w:color w:val="555555"/>
                <w:sz w:val="20"/>
                <w:szCs w:val="20"/>
              </w:rPr>
              <w:t xml:space="preserve"> wrapping IDP CLI/Backstage, create 3 golden path templates, write onboarding steering rules, pilot end-to-end lifecycle.</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PDLC &amp; Scale</w:t>
            </w:r>
          </w:p>
        </w:tc>
        <w:tc>
          <w:tcPr>
            <w:tcW w:w="22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Weeks 13–16</w:t>
            </w:r>
          </w:p>
        </w:tc>
        <w:tc>
          <w:tcPr>
            <w:tcW w:w="55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 xml:space="preserve">Integrate </w:t>
            </w:r>
            <w:proofErr w:type="spellStart"/>
            <w:r>
              <w:rPr>
                <w:color w:val="555555"/>
                <w:sz w:val="20"/>
                <w:szCs w:val="20"/>
              </w:rPr>
              <w:t>jira-mcp</w:t>
            </w:r>
            <w:proofErr w:type="spellEnd"/>
            <w:r>
              <w:rPr>
                <w:color w:val="555555"/>
                <w:sz w:val="20"/>
                <w:szCs w:val="20"/>
              </w:rPr>
              <w:t>, confluence-</w:t>
            </w:r>
            <w:proofErr w:type="spellStart"/>
            <w:r>
              <w:rPr>
                <w:color w:val="555555"/>
                <w:sz w:val="20"/>
                <w:szCs w:val="20"/>
              </w:rPr>
              <w:t>mcp</w:t>
            </w:r>
            <w:proofErr w:type="spellEnd"/>
            <w:r>
              <w:rPr>
                <w:color w:val="555555"/>
                <w:sz w:val="20"/>
                <w:szCs w:val="20"/>
              </w:rPr>
              <w:t xml:space="preserve">, </w:t>
            </w:r>
            <w:proofErr w:type="spellStart"/>
            <w:r>
              <w:rPr>
                <w:color w:val="555555"/>
                <w:sz w:val="20"/>
                <w:szCs w:val="20"/>
              </w:rPr>
              <w:t>github-mcp</w:t>
            </w:r>
            <w:proofErr w:type="spellEnd"/>
            <w:r>
              <w:rPr>
                <w:color w:val="555555"/>
                <w:sz w:val="20"/>
                <w:szCs w:val="20"/>
              </w:rPr>
              <w:t xml:space="preserve">, </w:t>
            </w:r>
            <w:proofErr w:type="spellStart"/>
            <w:r>
              <w:rPr>
                <w:color w:val="555555"/>
                <w:sz w:val="20"/>
                <w:szCs w:val="20"/>
              </w:rPr>
              <w:t>cmdb-mcp</w:t>
            </w:r>
            <w:proofErr w:type="spellEnd"/>
            <w:r>
              <w:rPr>
                <w:color w:val="555555"/>
                <w:sz w:val="20"/>
                <w:szCs w:val="20"/>
              </w:rPr>
              <w:t>, harness-</w:t>
            </w:r>
            <w:proofErr w:type="spellStart"/>
            <w:r>
              <w:rPr>
                <w:color w:val="555555"/>
                <w:sz w:val="20"/>
                <w:szCs w:val="20"/>
              </w:rPr>
              <w:t>mcp</w:t>
            </w:r>
            <w:proofErr w:type="spellEnd"/>
            <w:r>
              <w:rPr>
                <w:color w:val="555555"/>
                <w:sz w:val="20"/>
                <w:szCs w:val="20"/>
              </w:rPr>
              <w:t>. Add remaining personas. Build control dashboard. Roll out to 3+ teams.</w:t>
            </w:r>
          </w:p>
        </w:tc>
      </w:tr>
    </w:tbl>
    <w:p w:rsidR="00C87717" w:rsidRDefault="00C87717">
      <w:pPr>
        <w:spacing w:after="160"/>
      </w:pPr>
    </w:p>
    <w:p w:rsidR="00C87717" w:rsidRDefault="00000000">
      <w:pPr>
        <w:pStyle w:val="Heading2"/>
      </w:pPr>
      <w:r>
        <w:t>Resource Requirements</w:t>
      </w:r>
    </w:p>
    <w:p w:rsidR="00C87717" w:rsidRDefault="00000000">
      <w:pPr>
        <w:spacing w:after="160" w:line="300" w:lineRule="auto"/>
      </w:pPr>
      <w:r>
        <w:rPr>
          <w:color w:val="555555"/>
        </w:rPr>
        <w:t xml:space="preserve">The total custom build comprises approximately 10 MCP servers, most of which are thin API wrappers over existing systems. The two substantial builds are the org-cli (with the shared core engine, MCP server mode, and CLI mode) and the MCP Gateway (policy enforcement proxy on ECS </w:t>
      </w:r>
      <w:proofErr w:type="spellStart"/>
      <w:r>
        <w:rPr>
          <w:color w:val="555555"/>
        </w:rPr>
        <w:t>Fargate</w:t>
      </w:r>
      <w:proofErr w:type="spellEnd"/>
      <w:r>
        <w:rPr>
          <w:color w:val="555555"/>
        </w:rPr>
        <w:t>). Estimated effort: 2–3 engineers for 16 weeks, or 1 senior engineer full-time with 1–2 supporting.</w:t>
      </w:r>
    </w:p>
    <w:p w:rsidR="00C87717" w:rsidRDefault="00000000">
      <w:r>
        <w:lastRenderedPageBreak/>
        <w:br w:type="page"/>
      </w:r>
    </w:p>
    <w:p w:rsidR="00C87717" w:rsidRDefault="00000000">
      <w:pPr>
        <w:pStyle w:val="Heading1"/>
      </w:pPr>
      <w:r>
        <w:lastRenderedPageBreak/>
        <w:t>Appendix A: Tool Permission Matrix</w:t>
      </w:r>
    </w:p>
    <w:p w:rsidR="00C87717" w:rsidRDefault="00000000">
      <w:pPr>
        <w:spacing w:after="160" w:line="300" w:lineRule="auto"/>
      </w:pPr>
      <w:r>
        <w:rPr>
          <w:color w:val="555555"/>
        </w:rPr>
        <w:t>The following matrix defines the permission level for each tool operation by persona. This matrix is loaded by the MCP Gateway at runtime and enforced on every tool call.</w:t>
      </w:r>
    </w:p>
    <w:p w:rsidR="00C87717" w:rsidRDefault="00C8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60"/>
        <w:gridCol w:w="1400"/>
        <w:gridCol w:w="1400"/>
        <w:gridCol w:w="1400"/>
        <w:gridCol w:w="1400"/>
      </w:tblGrid>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MCP Server</w:t>
            </w:r>
          </w:p>
        </w:tc>
        <w:tc>
          <w:tcPr>
            <w:tcW w:w="21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Operation</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Architect</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Developer</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 xml:space="preserve">Tech </w:t>
            </w:r>
            <w:proofErr w:type="gramStart"/>
            <w:r>
              <w:rPr>
                <w:b/>
                <w:bCs/>
                <w:color w:val="FFFFFF"/>
                <w:sz w:val="20"/>
                <w:szCs w:val="20"/>
              </w:rPr>
              <w:t>Lead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SRE</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b/>
                <w:bCs/>
                <w:color w:val="555555"/>
                <w:sz w:val="20"/>
                <w:szCs w:val="20"/>
              </w:rPr>
              <w:t>jira-mcp</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color w:val="555555"/>
                <w:sz w:val="20"/>
                <w:szCs w:val="20"/>
              </w:rPr>
              <w:t>search_issues</w:t>
            </w:r>
            <w:proofErr w:type="spellEnd"/>
            <w:r>
              <w:rPr>
                <w:color w:val="555555"/>
                <w:sz w:val="20"/>
                <w:szCs w:val="20"/>
              </w:rPr>
              <w:t xml:space="preserve"> (GET)</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C87717"/>
        </w:tc>
        <w:tc>
          <w:tcPr>
            <w:tcW w:w="21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proofErr w:type="spellStart"/>
            <w:r>
              <w:rPr>
                <w:color w:val="555555"/>
                <w:sz w:val="20"/>
                <w:szCs w:val="20"/>
              </w:rPr>
              <w:t>create_issue</w:t>
            </w:r>
            <w:proofErr w:type="spellEnd"/>
            <w:r>
              <w:rPr>
                <w:color w:val="555555"/>
                <w:sz w:val="20"/>
                <w:szCs w:val="20"/>
              </w:rPr>
              <w:t xml:space="preserve"> (POST)</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40" w:type="dxa"/>
              <w:left w:w="120" w:type="dxa"/>
              <w:bottom w:w="40" w:type="dxa"/>
              <w:right w:w="120" w:type="dxa"/>
            </w:tcMar>
          </w:tcPr>
          <w:p w:rsidR="00C87717" w:rsidRDefault="00000000">
            <w:pPr>
              <w:jc w:val="center"/>
            </w:pPr>
            <w:r>
              <w:rPr>
                <w:b/>
                <w:bCs/>
                <w:color w:val="B7950B"/>
                <w:sz w:val="18"/>
                <w:szCs w:val="18"/>
              </w:rPr>
              <w:t>APPROVE</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40" w:type="dxa"/>
              <w:left w:w="120" w:type="dxa"/>
              <w:bottom w:w="40" w:type="dxa"/>
              <w:right w:w="120" w:type="dxa"/>
            </w:tcMar>
          </w:tcPr>
          <w:p w:rsidR="00C87717" w:rsidRDefault="00000000">
            <w:pPr>
              <w:jc w:val="center"/>
            </w:pPr>
            <w:r>
              <w:rPr>
                <w:b/>
                <w:bCs/>
                <w:color w:val="B7950B"/>
                <w:sz w:val="18"/>
                <w:szCs w:val="18"/>
              </w:rPr>
              <w:t>APPROVE</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40" w:type="dxa"/>
              <w:left w:w="120" w:type="dxa"/>
              <w:bottom w:w="40" w:type="dxa"/>
              <w:right w:w="120" w:type="dxa"/>
            </w:tcMar>
          </w:tcPr>
          <w:p w:rsidR="00C87717" w:rsidRDefault="00000000">
            <w:pPr>
              <w:jc w:val="center"/>
            </w:pPr>
            <w:r>
              <w:rPr>
                <w:b/>
                <w:bCs/>
                <w:color w:val="B7950B"/>
                <w:sz w:val="18"/>
                <w:szCs w:val="18"/>
              </w:rPr>
              <w:t>APPROVE</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b/>
                <w:bCs/>
                <w:color w:val="555555"/>
                <w:sz w:val="20"/>
                <w:szCs w:val="20"/>
              </w:rPr>
              <w:t>github-mcp</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color w:val="555555"/>
                <w:sz w:val="20"/>
                <w:szCs w:val="20"/>
              </w:rPr>
              <w:t>create_pr</w:t>
            </w:r>
            <w:proofErr w:type="spellEnd"/>
            <w:r>
              <w:rPr>
                <w:color w:val="555555"/>
                <w:sz w:val="20"/>
                <w:szCs w:val="20"/>
              </w:rPr>
              <w:t xml:space="preserve"> (POST)</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C87717"/>
        </w:tc>
        <w:tc>
          <w:tcPr>
            <w:tcW w:w="21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proofErr w:type="spellStart"/>
            <w:r>
              <w:rPr>
                <w:color w:val="555555"/>
                <w:sz w:val="20"/>
                <w:szCs w:val="20"/>
              </w:rPr>
              <w:t>merge_pr</w:t>
            </w:r>
            <w:proofErr w:type="spellEnd"/>
            <w:r>
              <w:rPr>
                <w:color w:val="555555"/>
                <w:sz w:val="20"/>
                <w:szCs w:val="20"/>
              </w:rPr>
              <w:t xml:space="preserve"> (POST)</w:t>
            </w:r>
          </w:p>
        </w:tc>
        <w:tc>
          <w:tcPr>
            <w:tcW w:w="14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120" w:type="dxa"/>
              <w:bottom w:w="40" w:type="dxa"/>
              <w:right w:w="120" w:type="dxa"/>
            </w:tcMar>
          </w:tcPr>
          <w:p w:rsidR="00C87717" w:rsidRDefault="00000000">
            <w:pPr>
              <w:jc w:val="center"/>
            </w:pPr>
            <w:r>
              <w:rPr>
                <w:b/>
                <w:bCs/>
                <w:color w:val="C0392B"/>
                <w:sz w:val="18"/>
                <w:szCs w:val="18"/>
              </w:rPr>
              <w:t>DENY</w:t>
            </w:r>
          </w:p>
        </w:tc>
        <w:tc>
          <w:tcPr>
            <w:tcW w:w="14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120" w:type="dxa"/>
              <w:bottom w:w="40" w:type="dxa"/>
              <w:right w:w="120" w:type="dxa"/>
            </w:tcMar>
          </w:tcPr>
          <w:p w:rsidR="00C87717" w:rsidRDefault="00000000">
            <w:pPr>
              <w:jc w:val="center"/>
            </w:pPr>
            <w:r>
              <w:rPr>
                <w:b/>
                <w:bCs/>
                <w:color w:val="C0392B"/>
                <w:sz w:val="18"/>
                <w:szCs w:val="18"/>
              </w:rPr>
              <w:t>DENY</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40" w:type="dxa"/>
              <w:left w:w="120" w:type="dxa"/>
              <w:bottom w:w="40" w:type="dxa"/>
              <w:right w:w="120" w:type="dxa"/>
            </w:tcMar>
          </w:tcPr>
          <w:p w:rsidR="00C87717" w:rsidRDefault="00000000">
            <w:pPr>
              <w:jc w:val="center"/>
            </w:pPr>
            <w:r>
              <w:rPr>
                <w:b/>
                <w:bCs/>
                <w:color w:val="B7950B"/>
                <w:sz w:val="18"/>
                <w:szCs w:val="18"/>
              </w:rPr>
              <w:t>APPROVE</w:t>
            </w:r>
          </w:p>
        </w:tc>
        <w:tc>
          <w:tcPr>
            <w:tcW w:w="14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120" w:type="dxa"/>
              <w:bottom w:w="40" w:type="dxa"/>
              <w:right w:w="120" w:type="dxa"/>
            </w:tcMar>
          </w:tcPr>
          <w:p w:rsidR="00C87717" w:rsidRDefault="00000000">
            <w:pPr>
              <w:jc w:val="center"/>
            </w:pPr>
            <w:r>
              <w:rPr>
                <w:b/>
                <w:bCs/>
                <w:color w:val="C0392B"/>
                <w:sz w:val="18"/>
                <w:szCs w:val="18"/>
              </w:rPr>
              <w:t>DENY</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b/>
                <w:bCs/>
                <w:color w:val="555555"/>
                <w:sz w:val="20"/>
                <w:szCs w:val="20"/>
              </w:rPr>
              <w:t>cmdb-mcp</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color w:val="555555"/>
                <w:sz w:val="20"/>
                <w:szCs w:val="20"/>
              </w:rPr>
              <w:t>search_services</w:t>
            </w:r>
            <w:proofErr w:type="spellEnd"/>
            <w:r>
              <w:rPr>
                <w:color w:val="555555"/>
                <w:sz w:val="20"/>
                <w:szCs w:val="20"/>
              </w:rPr>
              <w:t xml:space="preserve"> (GET)</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C87717"/>
        </w:tc>
        <w:tc>
          <w:tcPr>
            <w:tcW w:w="21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proofErr w:type="spellStart"/>
            <w:r>
              <w:rPr>
                <w:color w:val="555555"/>
                <w:sz w:val="20"/>
                <w:szCs w:val="20"/>
              </w:rPr>
              <w:t>create_service</w:t>
            </w:r>
            <w:proofErr w:type="spellEnd"/>
            <w:r>
              <w:rPr>
                <w:color w:val="555555"/>
                <w:sz w:val="20"/>
                <w:szCs w:val="20"/>
              </w:rPr>
              <w:t xml:space="preserve"> (POST)</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40" w:type="dxa"/>
              <w:left w:w="120" w:type="dxa"/>
              <w:bottom w:w="40" w:type="dxa"/>
              <w:right w:w="120" w:type="dxa"/>
            </w:tcMar>
          </w:tcPr>
          <w:p w:rsidR="00C87717" w:rsidRDefault="00000000">
            <w:pPr>
              <w:jc w:val="center"/>
            </w:pPr>
            <w:r>
              <w:rPr>
                <w:b/>
                <w:bCs/>
                <w:color w:val="B7950B"/>
                <w:sz w:val="18"/>
                <w:szCs w:val="18"/>
              </w:rPr>
              <w:t>APPROVE</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40" w:type="dxa"/>
              <w:left w:w="120" w:type="dxa"/>
              <w:bottom w:w="40" w:type="dxa"/>
              <w:right w:w="120" w:type="dxa"/>
            </w:tcMar>
          </w:tcPr>
          <w:p w:rsidR="00C87717" w:rsidRDefault="00000000">
            <w:pPr>
              <w:jc w:val="center"/>
            </w:pPr>
            <w:r>
              <w:rPr>
                <w:b/>
                <w:bCs/>
                <w:color w:val="B7950B"/>
                <w:sz w:val="18"/>
                <w:szCs w:val="18"/>
              </w:rPr>
              <w:t>APPROVE</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40" w:type="dxa"/>
              <w:left w:w="120" w:type="dxa"/>
              <w:bottom w:w="40" w:type="dxa"/>
              <w:right w:w="120" w:type="dxa"/>
            </w:tcMar>
          </w:tcPr>
          <w:p w:rsidR="00C87717" w:rsidRDefault="00000000">
            <w:pPr>
              <w:jc w:val="center"/>
            </w:pPr>
            <w:r>
              <w:rPr>
                <w:b/>
                <w:bCs/>
                <w:color w:val="B7950B"/>
                <w:sz w:val="18"/>
                <w:szCs w:val="18"/>
              </w:rPr>
              <w:t>APPROVE</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40" w:type="dxa"/>
              <w:left w:w="120" w:type="dxa"/>
              <w:bottom w:w="40" w:type="dxa"/>
              <w:right w:w="120" w:type="dxa"/>
            </w:tcMar>
          </w:tcPr>
          <w:p w:rsidR="00C87717" w:rsidRDefault="00000000">
            <w:pPr>
              <w:jc w:val="center"/>
            </w:pPr>
            <w:r>
              <w:rPr>
                <w:b/>
                <w:bCs/>
                <w:color w:val="B7950B"/>
                <w:sz w:val="18"/>
                <w:szCs w:val="18"/>
              </w:rPr>
              <w:t>APPROVE</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b/>
                <w:bCs/>
                <w:color w:val="555555"/>
                <w:sz w:val="20"/>
                <w:szCs w:val="20"/>
              </w:rPr>
              <w:t>idp-mcp</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color w:val="555555"/>
                <w:sz w:val="20"/>
                <w:szCs w:val="20"/>
              </w:rPr>
              <w:t>list_templates</w:t>
            </w:r>
            <w:proofErr w:type="spellEnd"/>
            <w:r>
              <w:rPr>
                <w:color w:val="555555"/>
                <w:sz w:val="20"/>
                <w:szCs w:val="20"/>
              </w:rPr>
              <w:t xml:space="preserve"> (GET)</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C87717"/>
        </w:tc>
        <w:tc>
          <w:tcPr>
            <w:tcW w:w="21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proofErr w:type="spellStart"/>
            <w:r>
              <w:rPr>
                <w:color w:val="555555"/>
                <w:sz w:val="20"/>
                <w:szCs w:val="20"/>
              </w:rPr>
              <w:t>scaffold_service</w:t>
            </w:r>
            <w:proofErr w:type="spellEnd"/>
            <w:r>
              <w:rPr>
                <w:color w:val="555555"/>
                <w:sz w:val="20"/>
                <w:szCs w:val="20"/>
              </w:rPr>
              <w:t xml:space="preserve"> (POST)</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40" w:type="dxa"/>
              <w:left w:w="120" w:type="dxa"/>
              <w:bottom w:w="40" w:type="dxa"/>
              <w:right w:w="120" w:type="dxa"/>
            </w:tcMar>
          </w:tcPr>
          <w:p w:rsidR="00C87717" w:rsidRDefault="00000000">
            <w:pPr>
              <w:jc w:val="center"/>
            </w:pPr>
            <w:r>
              <w:rPr>
                <w:b/>
                <w:bCs/>
                <w:color w:val="B7950B"/>
                <w:sz w:val="18"/>
                <w:szCs w:val="18"/>
              </w:rPr>
              <w:t>APPROVE</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40" w:type="dxa"/>
              <w:left w:w="120" w:type="dxa"/>
              <w:bottom w:w="40" w:type="dxa"/>
              <w:right w:w="120" w:type="dxa"/>
            </w:tcMar>
          </w:tcPr>
          <w:p w:rsidR="00C87717" w:rsidRDefault="00000000">
            <w:pPr>
              <w:jc w:val="center"/>
            </w:pPr>
            <w:r>
              <w:rPr>
                <w:b/>
                <w:bCs/>
                <w:color w:val="B7950B"/>
                <w:sz w:val="18"/>
                <w:szCs w:val="18"/>
              </w:rPr>
              <w:t>APPROVE</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40" w:type="dxa"/>
              <w:left w:w="120" w:type="dxa"/>
              <w:bottom w:w="40" w:type="dxa"/>
              <w:right w:w="120" w:type="dxa"/>
            </w:tcMar>
          </w:tcPr>
          <w:p w:rsidR="00C87717" w:rsidRDefault="00000000">
            <w:pPr>
              <w:jc w:val="center"/>
            </w:pPr>
            <w:r>
              <w:rPr>
                <w:b/>
                <w:bCs/>
                <w:color w:val="B7950B"/>
                <w:sz w:val="18"/>
                <w:szCs w:val="18"/>
              </w:rPr>
              <w:t>APPROVE</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40" w:type="dxa"/>
              <w:left w:w="120" w:type="dxa"/>
              <w:bottom w:w="40" w:type="dxa"/>
              <w:right w:w="120" w:type="dxa"/>
            </w:tcMar>
          </w:tcPr>
          <w:p w:rsidR="00C87717" w:rsidRDefault="00000000">
            <w:pPr>
              <w:jc w:val="center"/>
            </w:pPr>
            <w:r>
              <w:rPr>
                <w:b/>
                <w:bCs/>
                <w:color w:val="B7950B"/>
                <w:sz w:val="18"/>
                <w:szCs w:val="18"/>
              </w:rPr>
              <w:t>APPROVE</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C87717"/>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color w:val="555555"/>
                <w:sz w:val="20"/>
                <w:szCs w:val="20"/>
              </w:rPr>
              <w:t>provision_env</w:t>
            </w:r>
            <w:proofErr w:type="spellEnd"/>
            <w:r>
              <w:rPr>
                <w:color w:val="555555"/>
                <w:sz w:val="20"/>
                <w:szCs w:val="20"/>
              </w:rPr>
              <w:t xml:space="preserve"> (POST)</w:t>
            </w:r>
          </w:p>
        </w:tc>
        <w:tc>
          <w:tcPr>
            <w:tcW w:w="14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120" w:type="dxa"/>
              <w:bottom w:w="40" w:type="dxa"/>
              <w:right w:w="120" w:type="dxa"/>
            </w:tcMar>
          </w:tcPr>
          <w:p w:rsidR="00C87717" w:rsidRDefault="00000000">
            <w:pPr>
              <w:jc w:val="center"/>
            </w:pPr>
            <w:r>
              <w:rPr>
                <w:b/>
                <w:bCs/>
                <w:color w:val="C0392B"/>
                <w:sz w:val="18"/>
                <w:szCs w:val="18"/>
              </w:rPr>
              <w:t>DENY</w:t>
            </w:r>
          </w:p>
        </w:tc>
        <w:tc>
          <w:tcPr>
            <w:tcW w:w="14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120" w:type="dxa"/>
              <w:bottom w:w="40" w:type="dxa"/>
              <w:right w:w="120" w:type="dxa"/>
            </w:tcMar>
          </w:tcPr>
          <w:p w:rsidR="00C87717" w:rsidRDefault="00000000">
            <w:pPr>
              <w:jc w:val="center"/>
            </w:pPr>
            <w:r>
              <w:rPr>
                <w:b/>
                <w:bCs/>
                <w:color w:val="C0392B"/>
                <w:sz w:val="18"/>
                <w:szCs w:val="18"/>
              </w:rPr>
              <w:t>DENY</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40" w:type="dxa"/>
              <w:left w:w="120" w:type="dxa"/>
              <w:bottom w:w="40" w:type="dxa"/>
              <w:right w:w="120" w:type="dxa"/>
            </w:tcMar>
          </w:tcPr>
          <w:p w:rsidR="00C87717" w:rsidRDefault="00000000">
            <w:pPr>
              <w:jc w:val="center"/>
            </w:pPr>
            <w:r>
              <w:rPr>
                <w:b/>
                <w:bCs/>
                <w:color w:val="B7950B"/>
                <w:sz w:val="18"/>
                <w:szCs w:val="18"/>
              </w:rPr>
              <w:t>APPROVE</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confluence</w:t>
            </w:r>
          </w:p>
        </w:tc>
        <w:tc>
          <w:tcPr>
            <w:tcW w:w="21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proofErr w:type="spellStart"/>
            <w:r>
              <w:rPr>
                <w:color w:val="555555"/>
                <w:sz w:val="20"/>
                <w:szCs w:val="20"/>
              </w:rPr>
              <w:t>create_page</w:t>
            </w:r>
            <w:proofErr w:type="spellEnd"/>
            <w:r>
              <w:rPr>
                <w:color w:val="555555"/>
                <w:sz w:val="20"/>
                <w:szCs w:val="20"/>
              </w:rPr>
              <w:t xml:space="preserve"> (POST)</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40" w:type="dxa"/>
              <w:left w:w="120" w:type="dxa"/>
              <w:bottom w:w="40" w:type="dxa"/>
              <w:right w:w="120" w:type="dxa"/>
            </w:tcMar>
          </w:tcPr>
          <w:p w:rsidR="00C87717" w:rsidRDefault="00000000">
            <w:pPr>
              <w:jc w:val="center"/>
            </w:pPr>
            <w:r>
              <w:rPr>
                <w:b/>
                <w:bCs/>
                <w:color w:val="B7950B"/>
                <w:sz w:val="18"/>
                <w:szCs w:val="18"/>
              </w:rPr>
              <w:t>APPROVE</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40" w:type="dxa"/>
              <w:left w:w="120" w:type="dxa"/>
              <w:bottom w:w="40" w:type="dxa"/>
              <w:right w:w="120" w:type="dxa"/>
            </w:tcMar>
          </w:tcPr>
          <w:p w:rsidR="00C87717" w:rsidRDefault="00000000">
            <w:pPr>
              <w:jc w:val="center"/>
            </w:pPr>
            <w:r>
              <w:rPr>
                <w:b/>
                <w:bCs/>
                <w:color w:val="1E8449"/>
                <w:sz w:val="18"/>
                <w:szCs w:val="18"/>
              </w:rPr>
              <w:t>ALLOW</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40" w:type="dxa"/>
              <w:left w:w="120" w:type="dxa"/>
              <w:bottom w:w="40" w:type="dxa"/>
              <w:right w:w="120" w:type="dxa"/>
            </w:tcMar>
          </w:tcPr>
          <w:p w:rsidR="00C87717" w:rsidRDefault="00000000">
            <w:pPr>
              <w:jc w:val="center"/>
            </w:pPr>
            <w:r>
              <w:rPr>
                <w:b/>
                <w:bCs/>
                <w:color w:val="B7950B"/>
                <w:sz w:val="18"/>
                <w:szCs w:val="18"/>
              </w:rPr>
              <w:t>APPROVE</w:t>
            </w:r>
          </w:p>
        </w:tc>
      </w:tr>
    </w:tbl>
    <w:p w:rsidR="00C87717" w:rsidRDefault="00000000">
      <w:r>
        <w:br w:type="page"/>
      </w:r>
    </w:p>
    <w:p w:rsidR="00C87717" w:rsidRDefault="00000000">
      <w:pPr>
        <w:pStyle w:val="Heading1"/>
      </w:pPr>
      <w:r>
        <w:lastRenderedPageBreak/>
        <w:t>Appendix B: org-cli Design Detail</w:t>
      </w:r>
    </w:p>
    <w:p w:rsidR="00C87717" w:rsidRDefault="00000000">
      <w:pPr>
        <w:spacing w:after="160" w:line="300" w:lineRule="auto"/>
      </w:pPr>
      <w:r>
        <w:rPr>
          <w:color w:val="555555"/>
        </w:rPr>
        <w:t>The org-cli is a single binary that runs in two modes, sharing one core engine. This appendix describes the internal architecture and how the MCP server mode works.</w:t>
      </w:r>
    </w:p>
    <w:p w:rsidR="00C87717" w:rsidRDefault="00C87717">
      <w:pPr>
        <w:spacing w:after="60"/>
      </w:pPr>
    </w:p>
    <w:p w:rsidR="00C87717" w:rsidRDefault="00000000">
      <w:pPr>
        <w:pStyle w:val="Heading2"/>
      </w:pPr>
      <w:r>
        <w:t>Internal Architecture</w:t>
      </w:r>
    </w:p>
    <w:p w:rsidR="00C87717" w:rsidRDefault="00000000">
      <w:pPr>
        <w:spacing w:after="160" w:line="300" w:lineRule="auto"/>
      </w:pPr>
      <w:r>
        <w:rPr>
          <w:color w:val="555555"/>
        </w:rPr>
        <w:t>The binary contains five internal components:</w:t>
      </w:r>
    </w:p>
    <w:p w:rsidR="00C87717" w:rsidRDefault="00000000">
      <w:pPr>
        <w:pStyle w:val="ListParagraph"/>
        <w:numPr>
          <w:ilvl w:val="0"/>
          <w:numId w:val="2"/>
        </w:numPr>
        <w:spacing w:after="80" w:line="280" w:lineRule="auto"/>
      </w:pPr>
      <w:r>
        <w:rPr>
          <w:b/>
          <w:bCs/>
          <w:color w:val="2C3E50"/>
        </w:rPr>
        <w:t xml:space="preserve">MCP Server Mode (org-cli </w:t>
      </w:r>
      <w:proofErr w:type="spellStart"/>
      <w:r>
        <w:rPr>
          <w:b/>
          <w:bCs/>
          <w:color w:val="2C3E50"/>
        </w:rPr>
        <w:t>mcp</w:t>
      </w:r>
      <w:proofErr w:type="spellEnd"/>
      <w:r>
        <w:rPr>
          <w:b/>
          <w:bCs/>
          <w:color w:val="2C3E50"/>
        </w:rPr>
        <w:t xml:space="preserve">-serve): </w:t>
      </w:r>
      <w:r>
        <w:rPr>
          <w:color w:val="555555"/>
        </w:rPr>
        <w:t xml:space="preserve">Starts a long-running MCP server process. AI agents connect via </w:t>
      </w:r>
      <w:proofErr w:type="spellStart"/>
      <w:r>
        <w:rPr>
          <w:color w:val="555555"/>
        </w:rPr>
        <w:t>stdio</w:t>
      </w:r>
      <w:proofErr w:type="spellEnd"/>
      <w:r>
        <w:rPr>
          <w:color w:val="555555"/>
        </w:rPr>
        <w:t xml:space="preserve"> (local) or SSE (remote). The server advertises all available tools with typed input schemas. When the agent calls a tool, the request is dispatched to the shared core.</w:t>
      </w:r>
    </w:p>
    <w:p w:rsidR="00C87717" w:rsidRDefault="00000000">
      <w:pPr>
        <w:pStyle w:val="ListParagraph"/>
        <w:numPr>
          <w:ilvl w:val="0"/>
          <w:numId w:val="2"/>
        </w:numPr>
        <w:spacing w:after="80" w:line="280" w:lineRule="auto"/>
      </w:pPr>
      <w:r>
        <w:rPr>
          <w:b/>
          <w:bCs/>
          <w:color w:val="2C3E50"/>
        </w:rPr>
        <w:t>CLI Mode (org-cli &lt;command&gt; [</w:t>
      </w:r>
      <w:proofErr w:type="spellStart"/>
      <w:r>
        <w:rPr>
          <w:b/>
          <w:bCs/>
          <w:color w:val="2C3E50"/>
        </w:rPr>
        <w:t>args</w:t>
      </w:r>
      <w:proofErr w:type="spellEnd"/>
      <w:r>
        <w:rPr>
          <w:b/>
          <w:bCs/>
          <w:color w:val="2C3E50"/>
        </w:rPr>
        <w:t xml:space="preserve">]): </w:t>
      </w:r>
      <w:r>
        <w:rPr>
          <w:color w:val="555555"/>
        </w:rPr>
        <w:t>Parses command-line arguments, dispatches to the shared core, and formats the result as terminal output (table or JSON). Used by humans and CI/CD pipelines.</w:t>
      </w:r>
    </w:p>
    <w:p w:rsidR="00C87717" w:rsidRDefault="00000000">
      <w:pPr>
        <w:pStyle w:val="ListParagraph"/>
        <w:numPr>
          <w:ilvl w:val="0"/>
          <w:numId w:val="2"/>
        </w:numPr>
        <w:spacing w:after="80" w:line="280" w:lineRule="auto"/>
      </w:pPr>
      <w:r>
        <w:rPr>
          <w:b/>
          <w:bCs/>
          <w:color w:val="2C3E50"/>
        </w:rPr>
        <w:t xml:space="preserve">Command Handlers: </w:t>
      </w:r>
      <w:r>
        <w:rPr>
          <w:color w:val="555555"/>
        </w:rPr>
        <w:t>The business logic for each operation (</w:t>
      </w:r>
      <w:proofErr w:type="spellStart"/>
      <w:proofErr w:type="gramStart"/>
      <w:r>
        <w:rPr>
          <w:color w:val="555555"/>
        </w:rPr>
        <w:t>service.create</w:t>
      </w:r>
      <w:proofErr w:type="spellEnd"/>
      <w:proofErr w:type="gramEnd"/>
      <w:r>
        <w:rPr>
          <w:color w:val="555555"/>
        </w:rPr>
        <w:t xml:space="preserve">, </w:t>
      </w:r>
      <w:proofErr w:type="spellStart"/>
      <w:r>
        <w:rPr>
          <w:color w:val="555555"/>
        </w:rPr>
        <w:t>jira.search</w:t>
      </w:r>
      <w:proofErr w:type="spellEnd"/>
      <w:r>
        <w:rPr>
          <w:color w:val="555555"/>
        </w:rPr>
        <w:t xml:space="preserve">, </w:t>
      </w:r>
      <w:proofErr w:type="spellStart"/>
      <w:r>
        <w:rPr>
          <w:color w:val="555555"/>
        </w:rPr>
        <w:t>env.provision</w:t>
      </w:r>
      <w:proofErr w:type="spellEnd"/>
      <w:r>
        <w:rPr>
          <w:color w:val="555555"/>
        </w:rPr>
        <w:t>, etc.). Called identically by both MCP and CLI modes. Each handler takes typed input and returns a typed result.</w:t>
      </w:r>
    </w:p>
    <w:p w:rsidR="00C87717" w:rsidRDefault="00000000">
      <w:pPr>
        <w:pStyle w:val="ListParagraph"/>
        <w:numPr>
          <w:ilvl w:val="0"/>
          <w:numId w:val="2"/>
        </w:numPr>
        <w:spacing w:after="80" w:line="280" w:lineRule="auto"/>
      </w:pPr>
      <w:r>
        <w:rPr>
          <w:b/>
          <w:bCs/>
          <w:color w:val="2C3E50"/>
        </w:rPr>
        <w:t xml:space="preserve">Policy Engine: </w:t>
      </w:r>
      <w:r>
        <w:rPr>
          <w:color w:val="555555"/>
        </w:rPr>
        <w:t>Before executing any handler, checks the active persona against the permission matrix. Returns ALLOW, APPROVE, or DENY. For APPROVE, creates an approval request and returns the request ID and URL instead of executing.</w:t>
      </w:r>
    </w:p>
    <w:p w:rsidR="00C87717" w:rsidRDefault="00000000">
      <w:pPr>
        <w:pStyle w:val="ListParagraph"/>
        <w:numPr>
          <w:ilvl w:val="0"/>
          <w:numId w:val="2"/>
        </w:numPr>
        <w:spacing w:after="80" w:line="280" w:lineRule="auto"/>
      </w:pPr>
      <w:r>
        <w:rPr>
          <w:b/>
          <w:bCs/>
          <w:color w:val="2C3E50"/>
        </w:rPr>
        <w:t xml:space="preserve">Gateway Client: </w:t>
      </w:r>
      <w:r>
        <w:rPr>
          <w:color w:val="555555"/>
        </w:rPr>
        <w:t>Routes downstream calls to the appropriate MCP servers (</w:t>
      </w:r>
      <w:proofErr w:type="spellStart"/>
      <w:r>
        <w:rPr>
          <w:color w:val="555555"/>
        </w:rPr>
        <w:t>jira-mcp</w:t>
      </w:r>
      <w:proofErr w:type="spellEnd"/>
      <w:r>
        <w:rPr>
          <w:color w:val="555555"/>
        </w:rPr>
        <w:t xml:space="preserve">, </w:t>
      </w:r>
      <w:proofErr w:type="spellStart"/>
      <w:r>
        <w:rPr>
          <w:color w:val="555555"/>
        </w:rPr>
        <w:t>idp-mcp</w:t>
      </w:r>
      <w:proofErr w:type="spellEnd"/>
      <w:r>
        <w:rPr>
          <w:color w:val="555555"/>
        </w:rPr>
        <w:t>, etc.) through the MCP Gateway, which adds authentication, rate limiting, and circuit breaking.</w:t>
      </w:r>
    </w:p>
    <w:p w:rsidR="00C87717" w:rsidRDefault="00000000">
      <w:pPr>
        <w:pStyle w:val="ListParagraph"/>
        <w:numPr>
          <w:ilvl w:val="0"/>
          <w:numId w:val="2"/>
        </w:numPr>
        <w:spacing w:after="80" w:line="280" w:lineRule="auto"/>
      </w:pPr>
      <w:r>
        <w:rPr>
          <w:b/>
          <w:bCs/>
          <w:color w:val="2C3E50"/>
        </w:rPr>
        <w:t xml:space="preserve">Audit Logger: </w:t>
      </w:r>
      <w:r>
        <w:rPr>
          <w:color w:val="555555"/>
        </w:rPr>
        <w:t>Every action — allowed, approved, or denied — is logged to CloudWatch with full context including persona, user, IDE, AI-DLC phase, payload, and result.</w:t>
      </w:r>
    </w:p>
    <w:p w:rsidR="00C87717" w:rsidRDefault="00C87717">
      <w:pPr>
        <w:spacing w:after="80"/>
      </w:pPr>
    </w:p>
    <w:p w:rsidR="00C87717" w:rsidRDefault="00000000">
      <w:pPr>
        <w:pStyle w:val="Heading2"/>
      </w:pPr>
      <w:r>
        <w:t>How Agents Connect</w:t>
      </w:r>
    </w:p>
    <w:p w:rsidR="00C87717" w:rsidRDefault="00000000">
      <w:pPr>
        <w:spacing w:after="160" w:line="300" w:lineRule="auto"/>
      </w:pPr>
      <w:r>
        <w:rPr>
          <w:color w:val="555555"/>
        </w:rPr>
        <w:t>Each IDE configures org-cli as an MCP server in its native configuration format. The configuration is identical across IDEs — only the file location differs:</w:t>
      </w:r>
    </w:p>
    <w:p w:rsidR="00C87717" w:rsidRDefault="00000000">
      <w:pPr>
        <w:pStyle w:val="ListParagraph"/>
        <w:numPr>
          <w:ilvl w:val="0"/>
          <w:numId w:val="2"/>
        </w:numPr>
        <w:spacing w:after="80" w:line="280" w:lineRule="auto"/>
      </w:pPr>
      <w:proofErr w:type="spellStart"/>
      <w:r>
        <w:rPr>
          <w:b/>
          <w:bCs/>
          <w:color w:val="2C3E50"/>
        </w:rPr>
        <w:t>Kiro</w:t>
      </w:r>
      <w:proofErr w:type="spellEnd"/>
      <w:r>
        <w:rPr>
          <w:b/>
          <w:bCs/>
          <w:color w:val="2C3E50"/>
        </w:rPr>
        <w:t xml:space="preserve">: </w:t>
      </w:r>
      <w:r>
        <w:rPr>
          <w:color w:val="555555"/>
        </w:rPr>
        <w:t>.</w:t>
      </w:r>
      <w:proofErr w:type="spellStart"/>
      <w:r>
        <w:rPr>
          <w:color w:val="555555"/>
        </w:rPr>
        <w:t>kiro</w:t>
      </w:r>
      <w:proofErr w:type="spellEnd"/>
      <w:r>
        <w:rPr>
          <w:color w:val="555555"/>
        </w:rPr>
        <w:t>/</w:t>
      </w:r>
      <w:proofErr w:type="spellStart"/>
      <w:r>
        <w:rPr>
          <w:color w:val="555555"/>
        </w:rPr>
        <w:t>mcp.json</w:t>
      </w:r>
      <w:proofErr w:type="spellEnd"/>
    </w:p>
    <w:p w:rsidR="00C87717" w:rsidRDefault="00000000">
      <w:pPr>
        <w:pStyle w:val="ListParagraph"/>
        <w:numPr>
          <w:ilvl w:val="0"/>
          <w:numId w:val="2"/>
        </w:numPr>
        <w:spacing w:after="80" w:line="280" w:lineRule="auto"/>
      </w:pPr>
      <w:r>
        <w:rPr>
          <w:b/>
          <w:bCs/>
          <w:color w:val="2C3E50"/>
        </w:rPr>
        <w:t>Claude Code</w:t>
      </w:r>
      <w:proofErr w:type="gramStart"/>
      <w:r>
        <w:rPr>
          <w:b/>
          <w:bCs/>
          <w:color w:val="2C3E50"/>
        </w:rPr>
        <w:t xml:space="preserve">: </w:t>
      </w:r>
      <w:r>
        <w:rPr>
          <w:color w:val="555555"/>
        </w:rPr>
        <w:t>.</w:t>
      </w:r>
      <w:proofErr w:type="spellStart"/>
      <w:r>
        <w:rPr>
          <w:color w:val="555555"/>
        </w:rPr>
        <w:t>mcp</w:t>
      </w:r>
      <w:proofErr w:type="gramEnd"/>
      <w:r>
        <w:rPr>
          <w:color w:val="555555"/>
        </w:rPr>
        <w:t>.json</w:t>
      </w:r>
      <w:proofErr w:type="spellEnd"/>
    </w:p>
    <w:p w:rsidR="00C87717" w:rsidRDefault="00000000">
      <w:pPr>
        <w:pStyle w:val="ListParagraph"/>
        <w:numPr>
          <w:ilvl w:val="0"/>
          <w:numId w:val="2"/>
        </w:numPr>
        <w:spacing w:after="80" w:line="280" w:lineRule="auto"/>
      </w:pPr>
      <w:r>
        <w:rPr>
          <w:b/>
          <w:bCs/>
          <w:color w:val="2C3E50"/>
        </w:rPr>
        <w:t xml:space="preserve">GitHub Copilot: </w:t>
      </w:r>
      <w:r>
        <w:rPr>
          <w:color w:val="555555"/>
        </w:rPr>
        <w:t xml:space="preserve">VS Code </w:t>
      </w:r>
      <w:proofErr w:type="spellStart"/>
      <w:proofErr w:type="gramStart"/>
      <w:r>
        <w:rPr>
          <w:color w:val="555555"/>
        </w:rPr>
        <w:t>settings.json</w:t>
      </w:r>
      <w:proofErr w:type="spellEnd"/>
      <w:proofErr w:type="gramEnd"/>
      <w:r>
        <w:rPr>
          <w:color w:val="555555"/>
        </w:rPr>
        <w:t xml:space="preserve"> under </w:t>
      </w:r>
      <w:proofErr w:type="spellStart"/>
      <w:r>
        <w:rPr>
          <w:color w:val="555555"/>
        </w:rPr>
        <w:t>mcp.servers</w:t>
      </w:r>
      <w:proofErr w:type="spellEnd"/>
    </w:p>
    <w:p w:rsidR="00C87717" w:rsidRDefault="00000000">
      <w:pPr>
        <w:pStyle w:val="ListParagraph"/>
        <w:numPr>
          <w:ilvl w:val="0"/>
          <w:numId w:val="2"/>
        </w:numPr>
        <w:spacing w:after="80" w:line="280" w:lineRule="auto"/>
      </w:pPr>
      <w:r>
        <w:rPr>
          <w:b/>
          <w:bCs/>
          <w:color w:val="2C3E50"/>
        </w:rPr>
        <w:t xml:space="preserve">Cursor: </w:t>
      </w:r>
      <w:r>
        <w:rPr>
          <w:color w:val="555555"/>
        </w:rPr>
        <w:t>.cursor/</w:t>
      </w:r>
      <w:proofErr w:type="spellStart"/>
      <w:r>
        <w:rPr>
          <w:color w:val="555555"/>
        </w:rPr>
        <w:t>mcp.json</w:t>
      </w:r>
      <w:proofErr w:type="spellEnd"/>
    </w:p>
    <w:p w:rsidR="00C87717" w:rsidRDefault="00C87717">
      <w:pPr>
        <w:spacing w:after="40"/>
      </w:pPr>
    </w:p>
    <w:p w:rsidR="00C87717" w:rsidRDefault="00000000">
      <w:pPr>
        <w:spacing w:after="160" w:line="300" w:lineRule="auto"/>
      </w:pPr>
      <w:r>
        <w:rPr>
          <w:color w:val="555555"/>
        </w:rPr>
        <w:t xml:space="preserve">The agent launches org-cli </w:t>
      </w:r>
      <w:proofErr w:type="spellStart"/>
      <w:r>
        <w:rPr>
          <w:color w:val="555555"/>
        </w:rPr>
        <w:t>mcp</w:t>
      </w:r>
      <w:proofErr w:type="spellEnd"/>
      <w:r>
        <w:rPr>
          <w:color w:val="555555"/>
        </w:rPr>
        <w:t xml:space="preserve">-serve as a child process, opens a </w:t>
      </w:r>
      <w:proofErr w:type="spellStart"/>
      <w:r>
        <w:rPr>
          <w:color w:val="555555"/>
        </w:rPr>
        <w:t>stdio</w:t>
      </w:r>
      <w:proofErr w:type="spellEnd"/>
      <w:r>
        <w:rPr>
          <w:color w:val="555555"/>
        </w:rPr>
        <w:t xml:space="preserve"> connection, and sends an initialize request followed by tools/list. The server responds with the complete tool registry </w:t>
      </w:r>
      <w:r>
        <w:rPr>
          <w:color w:val="555555"/>
        </w:rPr>
        <w:lastRenderedPageBreak/>
        <w:t>including tool names, descriptions, and typed input schemas. The agent now knows every operation available and can call any tool by sending a tools/call request with the tool name and arguments.</w:t>
      </w:r>
    </w:p>
    <w:p w:rsidR="00C87717" w:rsidRDefault="00C87717">
      <w:pPr>
        <w:spacing w:after="80"/>
      </w:pPr>
    </w:p>
    <w:p w:rsidR="00C87717" w:rsidRDefault="00000000">
      <w:pPr>
        <w:pStyle w:val="Heading2"/>
      </w:pPr>
      <w:r>
        <w:t>Configuration</w:t>
      </w:r>
    </w:p>
    <w:p w:rsidR="00C87717" w:rsidRDefault="00000000">
      <w:pPr>
        <w:spacing w:after="160" w:line="300" w:lineRule="auto"/>
      </w:pPr>
      <w:r>
        <w:rPr>
          <w:color w:val="555555"/>
        </w:rPr>
        <w:t>The org-cli reads its configuration from environment variables and a config file. Key settings include: the active persona (AIDLC_PERSONA), the MCP Gateway URL, authentication tokens (from Okta SSO), and the permission matrix location. The config can be set per-project (in .</w:t>
      </w:r>
      <w:proofErr w:type="spellStart"/>
      <w:r>
        <w:rPr>
          <w:color w:val="555555"/>
        </w:rPr>
        <w:t>aidlc</w:t>
      </w:r>
      <w:proofErr w:type="spellEnd"/>
      <w:r>
        <w:rPr>
          <w:color w:val="555555"/>
        </w:rPr>
        <w:t>/</w:t>
      </w:r>
      <w:proofErr w:type="spellStart"/>
      <w:r>
        <w:rPr>
          <w:color w:val="555555"/>
        </w:rPr>
        <w:t>config.yaml</w:t>
      </w:r>
      <w:proofErr w:type="spellEnd"/>
      <w:r>
        <w:rPr>
          <w:color w:val="555555"/>
        </w:rPr>
        <w:t>), per-user (in ~/.</w:t>
      </w:r>
      <w:proofErr w:type="spellStart"/>
      <w:r>
        <w:rPr>
          <w:color w:val="555555"/>
        </w:rPr>
        <w:t>aidlc</w:t>
      </w:r>
      <w:proofErr w:type="spellEnd"/>
      <w:r>
        <w:rPr>
          <w:color w:val="555555"/>
        </w:rPr>
        <w:t>/</w:t>
      </w:r>
      <w:proofErr w:type="spellStart"/>
      <w:r>
        <w:rPr>
          <w:color w:val="555555"/>
        </w:rPr>
        <w:t>config.yaml</w:t>
      </w:r>
      <w:proofErr w:type="spellEnd"/>
      <w:r>
        <w:rPr>
          <w:color w:val="555555"/>
        </w:rPr>
        <w:t>), or via environment variables that take highest precedence.</w:t>
      </w:r>
    </w:p>
    <w:p w:rsidR="00C87717" w:rsidRDefault="00000000">
      <w:r>
        <w:br w:type="page"/>
      </w:r>
    </w:p>
    <w:p w:rsidR="00C87717" w:rsidRDefault="00000000">
      <w:pPr>
        <w:pStyle w:val="Heading1"/>
      </w:pPr>
      <w:r>
        <w:lastRenderedPageBreak/>
        <w:t>Appendix C: MCP Server Build vs. Buy</w:t>
      </w:r>
    </w:p>
    <w:p w:rsidR="00C87717" w:rsidRDefault="00000000">
      <w:pPr>
        <w:spacing w:after="160" w:line="300" w:lineRule="auto"/>
      </w:pPr>
      <w:r>
        <w:rPr>
          <w:color w:val="555555"/>
        </w:rPr>
        <w:t>The following table summarizes all MCP servers required, their purpose, and whether they need to be built custom or can leverage existing community/vendor implementations.</w:t>
      </w:r>
    </w:p>
    <w:p w:rsidR="00C87717" w:rsidRDefault="00C877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200"/>
        <w:gridCol w:w="5360"/>
      </w:tblGrid>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MCP Server</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Action</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Effort</w:t>
            </w:r>
          </w:p>
        </w:tc>
        <w:tc>
          <w:tcPr>
            <w:tcW w:w="5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Notes</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b/>
                <w:bCs/>
                <w:color w:val="555555"/>
                <w:sz w:val="20"/>
                <w:szCs w:val="20"/>
              </w:rPr>
              <w:t>jira-mcp</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Use existing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Low</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Atlassian community MCP or thin REST wrapper</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confluence-</w:t>
            </w:r>
            <w:proofErr w:type="spellStart"/>
            <w:r>
              <w:rPr>
                <w:b/>
                <w:bCs/>
                <w:color w:val="555555"/>
                <w:sz w:val="20"/>
                <w:szCs w:val="20"/>
              </w:rPr>
              <w:t>mcp</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Use existing</w:t>
            </w:r>
          </w:p>
        </w:tc>
        <w:tc>
          <w:tcPr>
            <w:tcW w:w="12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Same approach as Jira</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b/>
                <w:bCs/>
                <w:color w:val="555555"/>
                <w:sz w:val="20"/>
                <w:szCs w:val="20"/>
              </w:rPr>
              <w:t>github-mcp</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Use existing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Low</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Official GitHub MCP server available</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approval-</w:t>
            </w:r>
            <w:proofErr w:type="spellStart"/>
            <w:r>
              <w:rPr>
                <w:b/>
                <w:bCs/>
                <w:color w:val="555555"/>
                <w:sz w:val="20"/>
                <w:szCs w:val="20"/>
              </w:rPr>
              <w:t>mcp</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C0392B"/>
                <w:sz w:val="20"/>
                <w:szCs w:val="20"/>
              </w:rPr>
              <w:t>Build</w:t>
            </w:r>
          </w:p>
        </w:tc>
        <w:tc>
          <w:tcPr>
            <w:tcW w:w="12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Medium</w:t>
            </w:r>
          </w:p>
        </w:tc>
        <w:tc>
          <w:tcPr>
            <w:tcW w:w="53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Core guardrail component. Integrates with IDP UI for approval routing.</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b/>
                <w:bCs/>
                <w:color w:val="555555"/>
                <w:sz w:val="20"/>
                <w:szCs w:val="20"/>
              </w:rPr>
              <w:t>mcp</w:t>
            </w:r>
            <w:proofErr w:type="spellEnd"/>
            <w:r>
              <w:rPr>
                <w:b/>
                <w:bCs/>
                <w:color w:val="555555"/>
                <w:sz w:val="20"/>
                <w:szCs w:val="20"/>
              </w:rPr>
              <w:t>-gateway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C0392B"/>
                <w:sz w:val="20"/>
                <w:szCs w:val="20"/>
              </w:rPr>
              <w:t>Build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Medium-High</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 xml:space="preserve">Policy enforcement proxy on ECS </w:t>
            </w:r>
            <w:proofErr w:type="spellStart"/>
            <w:r>
              <w:rPr>
                <w:color w:val="555555"/>
                <w:sz w:val="20"/>
                <w:szCs w:val="20"/>
              </w:rPr>
              <w:t>Fargate</w:t>
            </w:r>
            <w:proofErr w:type="spellEnd"/>
            <w:r>
              <w:rPr>
                <w:color w:val="555555"/>
                <w:sz w:val="20"/>
                <w:szCs w:val="20"/>
              </w:rPr>
              <w:t>. Can start from Microsoft AGT.</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audit-</w:t>
            </w:r>
            <w:proofErr w:type="spellStart"/>
            <w:r>
              <w:rPr>
                <w:b/>
                <w:bCs/>
                <w:color w:val="555555"/>
                <w:sz w:val="20"/>
                <w:szCs w:val="20"/>
              </w:rPr>
              <w:t>mcp</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C0392B"/>
                <w:sz w:val="20"/>
                <w:szCs w:val="20"/>
              </w:rPr>
              <w:t>Build</w:t>
            </w:r>
          </w:p>
        </w:tc>
        <w:tc>
          <w:tcPr>
            <w:tcW w:w="12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Low-Medium</w:t>
            </w:r>
          </w:p>
        </w:tc>
        <w:tc>
          <w:tcPr>
            <w:tcW w:w="53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Wraps CloudWatch. Structured log format with persona, phase, approval context.</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b/>
                <w:bCs/>
                <w:color w:val="555555"/>
                <w:sz w:val="20"/>
                <w:szCs w:val="20"/>
              </w:rPr>
              <w:t>idp-mcp</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C0392B"/>
                <w:sz w:val="20"/>
                <w:szCs w:val="20"/>
              </w:rPr>
              <w:t>Build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Medium</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Wraps IDP CLI / Backstage API. Golden path templates as MCP tools.</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policy-</w:t>
            </w:r>
            <w:proofErr w:type="spellStart"/>
            <w:r>
              <w:rPr>
                <w:b/>
                <w:bCs/>
                <w:color w:val="555555"/>
                <w:sz w:val="20"/>
                <w:szCs w:val="20"/>
              </w:rPr>
              <w:t>mcp</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C0392B"/>
                <w:sz w:val="20"/>
                <w:szCs w:val="20"/>
              </w:rPr>
              <w:t>Build</w:t>
            </w:r>
          </w:p>
        </w:tc>
        <w:tc>
          <w:tcPr>
            <w:tcW w:w="12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Serves permission matrix and persona config. Can be file-based.</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spellStart"/>
            <w:r>
              <w:rPr>
                <w:b/>
                <w:bCs/>
                <w:color w:val="555555"/>
                <w:sz w:val="20"/>
                <w:szCs w:val="20"/>
              </w:rPr>
              <w:t>cmdb-mcp</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C0392B"/>
                <w:sz w:val="20"/>
                <w:szCs w:val="20"/>
              </w:rPr>
              <w:t>Build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Medium</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Wraps ServiceNow CMDB API for service registration and queries.</w:t>
            </w:r>
          </w:p>
        </w:tc>
      </w:tr>
      <w:tr w:rsidR="00C8771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harness-</w:t>
            </w:r>
            <w:proofErr w:type="spellStart"/>
            <w:r>
              <w:rPr>
                <w:b/>
                <w:bCs/>
                <w:color w:val="555555"/>
                <w:sz w:val="20"/>
                <w:szCs w:val="20"/>
              </w:rPr>
              <w:t>mcp</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C0392B"/>
                <w:sz w:val="20"/>
                <w:szCs w:val="20"/>
              </w:rPr>
              <w:t>Build</w:t>
            </w:r>
          </w:p>
        </w:tc>
        <w:tc>
          <w:tcPr>
            <w:tcW w:w="12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Low-Medium</w:t>
            </w:r>
          </w:p>
        </w:tc>
        <w:tc>
          <w:tcPr>
            <w:tcW w:w="53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Wraps Harness CI/CD API for pipeline triggers, status, and logs.</w:t>
            </w:r>
          </w:p>
        </w:tc>
      </w:tr>
    </w:tbl>
    <w:p w:rsidR="00C87717" w:rsidRDefault="00C87717">
      <w:pPr>
        <w:spacing w:after="160"/>
      </w:pPr>
    </w:p>
    <w:p w:rsidR="00C87717" w:rsidRDefault="00000000">
      <w:pPr>
        <w:pStyle w:val="Heading1"/>
      </w:pPr>
      <w:r>
        <w:t>Appendix D: Steering Rules File Structure</w:t>
      </w:r>
    </w:p>
    <w:p w:rsidR="00C87717" w:rsidRDefault="00000000">
      <w:pPr>
        <w:spacing w:after="160" w:line="300" w:lineRule="auto"/>
      </w:pPr>
      <w:r>
        <w:rPr>
          <w:color w:val="555555"/>
        </w:rPr>
        <w:t xml:space="preserve">All rules live in the repository </w:t>
      </w:r>
      <w:proofErr w:type="gramStart"/>
      <w:r>
        <w:rPr>
          <w:color w:val="555555"/>
        </w:rPr>
        <w:t>under .</w:t>
      </w:r>
      <w:proofErr w:type="spellStart"/>
      <w:r>
        <w:rPr>
          <w:color w:val="555555"/>
        </w:rPr>
        <w:t>aidlc</w:t>
      </w:r>
      <w:proofErr w:type="spellEnd"/>
      <w:proofErr w:type="gramEnd"/>
      <w:r>
        <w:rPr>
          <w:color w:val="555555"/>
        </w:rPr>
        <w:t>/ and are synced to each IDE’s native rules location via a shell script (sync.sh) that runs as a Git hook. The structure uses three tiers:</w:t>
      </w:r>
    </w:p>
    <w:p w:rsidR="00C87717" w:rsidRDefault="00C8771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C8771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Tier</w:t>
            </w:r>
          </w:p>
        </w:tc>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Location</w:t>
            </w:r>
          </w:p>
        </w:tc>
        <w:tc>
          <w:tcPr>
            <w:tcW w:w="39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C87717" w:rsidRDefault="00000000">
            <w:r>
              <w:rPr>
                <w:b/>
                <w:bCs/>
                <w:color w:val="FFFFFF"/>
                <w:sz w:val="20"/>
                <w:szCs w:val="20"/>
              </w:rPr>
              <w:t>Contents</w:t>
            </w:r>
          </w:p>
        </w:tc>
      </w:tr>
      <w:tr w:rsidR="00C8771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t>Tier 1: AI-DLC Core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gramStart"/>
            <w:r>
              <w:rPr>
                <w:color w:val="555555"/>
                <w:sz w:val="20"/>
                <w:szCs w:val="20"/>
              </w:rPr>
              <w:t>.</w:t>
            </w:r>
            <w:proofErr w:type="spellStart"/>
            <w:r>
              <w:rPr>
                <w:color w:val="555555"/>
                <w:sz w:val="20"/>
                <w:szCs w:val="20"/>
              </w:rPr>
              <w:t>aidlc</w:t>
            </w:r>
            <w:proofErr w:type="spellEnd"/>
            <w:proofErr w:type="gramEnd"/>
            <w:r>
              <w:rPr>
                <w:color w:val="555555"/>
                <w:sz w:val="20"/>
                <w:szCs w:val="20"/>
              </w:rPr>
              <w:t>/core/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 xml:space="preserve">Core workflow from </w:t>
            </w:r>
            <w:proofErr w:type="spellStart"/>
            <w:r>
              <w:rPr>
                <w:color w:val="555555"/>
                <w:sz w:val="20"/>
                <w:szCs w:val="20"/>
              </w:rPr>
              <w:t>awslabs</w:t>
            </w:r>
            <w:proofErr w:type="spellEnd"/>
            <w:r>
              <w:rPr>
                <w:color w:val="555555"/>
                <w:sz w:val="20"/>
                <w:szCs w:val="20"/>
              </w:rPr>
              <w:t>/</w:t>
            </w:r>
            <w:proofErr w:type="spellStart"/>
            <w:r>
              <w:rPr>
                <w:color w:val="555555"/>
                <w:sz w:val="20"/>
                <w:szCs w:val="20"/>
              </w:rPr>
              <w:t>aidlc</w:t>
            </w:r>
            <w:proofErr w:type="spellEnd"/>
            <w:r>
              <w:rPr>
                <w:color w:val="555555"/>
                <w:sz w:val="20"/>
                <w:szCs w:val="20"/>
              </w:rPr>
              <w:t>-workflows. Defines the phases (inception, construction, operations) and agent behavior.</w:t>
            </w:r>
          </w:p>
        </w:tc>
      </w:tr>
      <w:tr w:rsidR="00C8771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b/>
                <w:bCs/>
                <w:color w:val="555555"/>
                <w:sz w:val="20"/>
                <w:szCs w:val="20"/>
              </w:rPr>
              <w:t>Tier 2: Org Layer</w:t>
            </w:r>
          </w:p>
        </w:tc>
        <w:tc>
          <w:tcPr>
            <w:tcW w:w="320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proofErr w:type="gramStart"/>
            <w:r>
              <w:rPr>
                <w:color w:val="555555"/>
                <w:sz w:val="20"/>
                <w:szCs w:val="20"/>
              </w:rPr>
              <w:t>.</w:t>
            </w:r>
            <w:proofErr w:type="spellStart"/>
            <w:r>
              <w:rPr>
                <w:color w:val="555555"/>
                <w:sz w:val="20"/>
                <w:szCs w:val="20"/>
              </w:rPr>
              <w:t>aidlc</w:t>
            </w:r>
            <w:proofErr w:type="spellEnd"/>
            <w:proofErr w:type="gramEnd"/>
            <w:r>
              <w:rPr>
                <w:color w:val="555555"/>
                <w:sz w:val="20"/>
                <w:szCs w:val="20"/>
              </w:rPr>
              <w:t>/org/</w:t>
            </w:r>
          </w:p>
        </w:tc>
        <w:tc>
          <w:tcPr>
            <w:tcW w:w="3960"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rsidR="00C87717" w:rsidRDefault="00000000">
            <w:r>
              <w:rPr>
                <w:color w:val="555555"/>
                <w:sz w:val="20"/>
                <w:szCs w:val="20"/>
              </w:rPr>
              <w:t xml:space="preserve">Personas, guardrails (tool-permissions.md, approval-workflow.md), </w:t>
            </w:r>
            <w:r>
              <w:rPr>
                <w:color w:val="555555"/>
                <w:sz w:val="20"/>
                <w:szCs w:val="20"/>
              </w:rPr>
              <w:lastRenderedPageBreak/>
              <w:t>standards (architecture, coding, security, API design), and IDP skills.</w:t>
            </w:r>
          </w:p>
        </w:tc>
      </w:tr>
      <w:tr w:rsidR="00C8771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b/>
                <w:bCs/>
                <w:color w:val="555555"/>
                <w:sz w:val="20"/>
                <w:szCs w:val="20"/>
              </w:rPr>
              <w:lastRenderedPageBreak/>
              <w:t>Tier 3: Project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proofErr w:type="gramStart"/>
            <w:r>
              <w:rPr>
                <w:color w:val="555555"/>
                <w:sz w:val="20"/>
                <w:szCs w:val="20"/>
              </w:rPr>
              <w:t>.</w:t>
            </w:r>
            <w:proofErr w:type="spellStart"/>
            <w:r>
              <w:rPr>
                <w:color w:val="555555"/>
                <w:sz w:val="20"/>
                <w:szCs w:val="20"/>
              </w:rPr>
              <w:t>aidlc</w:t>
            </w:r>
            <w:proofErr w:type="spellEnd"/>
            <w:proofErr w:type="gramEnd"/>
            <w:r>
              <w:rPr>
                <w:color w:val="555555"/>
                <w:sz w:val="20"/>
                <w:szCs w:val="20"/>
              </w:rPr>
              <w:t>/project/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87717" w:rsidRDefault="00000000">
            <w:r>
              <w:rPr>
                <w:color w:val="555555"/>
                <w:sz w:val="20"/>
                <w:szCs w:val="20"/>
              </w:rPr>
              <w:t>Project-specific overrides: tech stack, feature flags, team conventions, repo-specific context.</w:t>
            </w:r>
          </w:p>
        </w:tc>
      </w:tr>
    </w:tbl>
    <w:p w:rsidR="00C87717" w:rsidRDefault="00C87717">
      <w:pPr>
        <w:spacing w:after="80"/>
      </w:pPr>
    </w:p>
    <w:p w:rsidR="00C87717" w:rsidRDefault="00000000">
      <w:pPr>
        <w:spacing w:after="160" w:line="300" w:lineRule="auto"/>
      </w:pPr>
      <w:r>
        <w:rPr>
          <w:color w:val="555555"/>
        </w:rPr>
        <w:t xml:space="preserve">The sync script composes the active persona’s rules with the core workflow and distributes the merged output </w:t>
      </w:r>
      <w:proofErr w:type="gramStart"/>
      <w:r>
        <w:rPr>
          <w:color w:val="555555"/>
        </w:rPr>
        <w:t>to .</w:t>
      </w:r>
      <w:proofErr w:type="spellStart"/>
      <w:r>
        <w:rPr>
          <w:color w:val="555555"/>
        </w:rPr>
        <w:t>kiro</w:t>
      </w:r>
      <w:proofErr w:type="spellEnd"/>
      <w:proofErr w:type="gramEnd"/>
      <w:r>
        <w:rPr>
          <w:color w:val="555555"/>
        </w:rPr>
        <w:t>/steering/, .</w:t>
      </w:r>
      <w:proofErr w:type="spellStart"/>
      <w:r>
        <w:rPr>
          <w:color w:val="555555"/>
        </w:rPr>
        <w:t>amazonq</w:t>
      </w:r>
      <w:proofErr w:type="spellEnd"/>
      <w:r>
        <w:rPr>
          <w:color w:val="555555"/>
        </w:rPr>
        <w:t>/rules/, CLAUDE.md, .</w:t>
      </w:r>
      <w:proofErr w:type="spellStart"/>
      <w:r>
        <w:rPr>
          <w:color w:val="555555"/>
        </w:rPr>
        <w:t>github</w:t>
      </w:r>
      <w:proofErr w:type="spellEnd"/>
      <w:r>
        <w:rPr>
          <w:color w:val="555555"/>
        </w:rPr>
        <w:t>/copilot-instructions.md, .cursor/rules/, and .</w:t>
      </w:r>
      <w:proofErr w:type="spellStart"/>
      <w:r>
        <w:rPr>
          <w:color w:val="555555"/>
        </w:rPr>
        <w:t>clinerules</w:t>
      </w:r>
      <w:proofErr w:type="spellEnd"/>
      <w:r>
        <w:rPr>
          <w:color w:val="555555"/>
        </w:rPr>
        <w:t>/. This ensures every IDE reads the same composed ruleset, regardless of its native configuration format.</w:t>
      </w:r>
    </w:p>
    <w:p w:rsidR="00C87717" w:rsidRDefault="00C87717">
      <w:pPr>
        <w:spacing w:after="200"/>
      </w:pPr>
    </w:p>
    <w:p w:rsidR="00C87717" w:rsidRDefault="00000000">
      <w:pPr>
        <w:pBdr>
          <w:top w:val="single" w:sz="4" w:space="8" w:color="CCCCCC"/>
        </w:pBdr>
        <w:spacing w:before="200"/>
        <w:jc w:val="center"/>
      </w:pPr>
      <w:r>
        <w:rPr>
          <w:i/>
          <w:iCs/>
          <w:color w:val="999999"/>
          <w:sz w:val="20"/>
          <w:szCs w:val="20"/>
        </w:rPr>
        <w:t>End of Document</w:t>
      </w:r>
    </w:p>
    <w:sectPr w:rsidR="00C8771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C3C01" w:rsidRDefault="005C3C01">
      <w:r>
        <w:separator/>
      </w:r>
    </w:p>
  </w:endnote>
  <w:endnote w:type="continuationSeparator" w:id="0">
    <w:p w:rsidR="005C3C01" w:rsidRDefault="005C3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7717" w:rsidRDefault="009F556C">
    <w:pPr>
      <w:pBdr>
        <w:top w:val="single" w:sz="4" w:space="4" w:color="CCCCCC"/>
      </w:pBdr>
      <w:tabs>
        <w:tab w:val="right" w:pos="9026"/>
      </w:tabs>
    </w:pPr>
    <w:r>
      <w:rPr>
        <w:color w:val="999999"/>
        <w:sz w:val="16"/>
        <w:szCs w:val="16"/>
      </w:rPr>
      <w:t>AAA</w:t>
    </w:r>
    <w:r w:rsidR="00000000">
      <w:rPr>
        <w:color w:val="999999"/>
        <w:sz w:val="16"/>
        <w:szCs w:val="16"/>
      </w:rPr>
      <w:t xml:space="preserve"> AI-DLC: CTO Briefing — May 2026</w:t>
    </w:r>
    <w:r w:rsidR="00000000">
      <w:rPr>
        <w:color w:val="999999"/>
        <w:sz w:val="16"/>
        <w:szCs w:val="16"/>
      </w:rPr>
      <w:tab/>
      <w:t xml:space="preserve">Page </w:t>
    </w:r>
    <w:r w:rsidR="00000000">
      <w:rPr>
        <w:color w:val="999999"/>
        <w:sz w:val="16"/>
        <w:szCs w:val="16"/>
      </w:rPr>
      <w:fldChar w:fldCharType="begin"/>
    </w:r>
    <w:r w:rsidR="00000000">
      <w:rPr>
        <w:color w:val="999999"/>
        <w:sz w:val="16"/>
        <w:szCs w:val="16"/>
      </w:rPr>
      <w:instrText>PAGE</w:instrText>
    </w:r>
    <w:r w:rsidR="00000000">
      <w:rPr>
        <w:color w:val="999999"/>
        <w:sz w:val="16"/>
        <w:szCs w:val="16"/>
      </w:rPr>
      <w:fldChar w:fldCharType="separate"/>
    </w:r>
    <w:r w:rsidR="00281D06">
      <w:rPr>
        <w:noProof/>
        <w:color w:val="999999"/>
        <w:sz w:val="16"/>
        <w:szCs w:val="16"/>
      </w:rPr>
      <w:t>1</w:t>
    </w:r>
    <w:r w:rsidR="00000000">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C3C01" w:rsidRDefault="005C3C01">
      <w:r>
        <w:separator/>
      </w:r>
    </w:p>
  </w:footnote>
  <w:footnote w:type="continuationSeparator" w:id="0">
    <w:p w:rsidR="005C3C01" w:rsidRDefault="005C3C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7717" w:rsidRDefault="00000000">
    <w:pPr>
      <w:tabs>
        <w:tab w:val="right" w:pos="9026"/>
      </w:tabs>
    </w:pPr>
    <w:r>
      <w:rPr>
        <w:i/>
        <w:iCs/>
        <w:color w:val="999999"/>
        <w:sz w:val="16"/>
        <w:szCs w:val="16"/>
      </w:rPr>
      <w:t>CONFIDENTIAL</w:t>
    </w:r>
    <w:r>
      <w:rPr>
        <w:color w:val="999999"/>
        <w:sz w:val="16"/>
        <w:szCs w:val="16"/>
      </w:rPr>
      <w:tab/>
    </w:r>
    <w:r w:rsidR="009F556C">
      <w:rPr>
        <w:color w:val="999999"/>
        <w:sz w:val="16"/>
        <w:szCs w:val="16"/>
      </w:rPr>
      <w:t>AAA</w:t>
    </w:r>
    <w:r>
      <w:rPr>
        <w:color w:val="999999"/>
        <w:sz w:val="16"/>
        <w:szCs w:val="16"/>
      </w:rPr>
      <w:t xml:space="preserve"> AI-DLC Enablement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15010"/>
    <w:multiLevelType w:val="hybridMultilevel"/>
    <w:tmpl w:val="6C66FC1A"/>
    <w:lvl w:ilvl="0" w:tplc="216A52C6">
      <w:start w:val="1"/>
      <w:numFmt w:val="decimal"/>
      <w:lvlText w:val="%1."/>
      <w:lvlJc w:val="left"/>
      <w:pPr>
        <w:ind w:left="720" w:hanging="360"/>
      </w:pPr>
    </w:lvl>
    <w:lvl w:ilvl="1" w:tplc="E0ACC504">
      <w:numFmt w:val="decimal"/>
      <w:lvlText w:val=""/>
      <w:lvlJc w:val="left"/>
    </w:lvl>
    <w:lvl w:ilvl="2" w:tplc="A43AD81A">
      <w:numFmt w:val="decimal"/>
      <w:lvlText w:val=""/>
      <w:lvlJc w:val="left"/>
    </w:lvl>
    <w:lvl w:ilvl="3" w:tplc="DC7E4794">
      <w:numFmt w:val="decimal"/>
      <w:lvlText w:val=""/>
      <w:lvlJc w:val="left"/>
    </w:lvl>
    <w:lvl w:ilvl="4" w:tplc="8C983B76">
      <w:numFmt w:val="decimal"/>
      <w:lvlText w:val=""/>
      <w:lvlJc w:val="left"/>
    </w:lvl>
    <w:lvl w:ilvl="5" w:tplc="71D470AC">
      <w:numFmt w:val="decimal"/>
      <w:lvlText w:val=""/>
      <w:lvlJc w:val="left"/>
    </w:lvl>
    <w:lvl w:ilvl="6" w:tplc="F9D023C8">
      <w:numFmt w:val="decimal"/>
      <w:lvlText w:val=""/>
      <w:lvlJc w:val="left"/>
    </w:lvl>
    <w:lvl w:ilvl="7" w:tplc="18B8D0DA">
      <w:numFmt w:val="decimal"/>
      <w:lvlText w:val=""/>
      <w:lvlJc w:val="left"/>
    </w:lvl>
    <w:lvl w:ilvl="8" w:tplc="C958F364">
      <w:numFmt w:val="decimal"/>
      <w:lvlText w:val=""/>
      <w:lvlJc w:val="left"/>
    </w:lvl>
  </w:abstractNum>
  <w:abstractNum w:abstractNumId="1" w15:restartNumberingAfterBreak="0">
    <w:nsid w:val="43136D5E"/>
    <w:multiLevelType w:val="hybridMultilevel"/>
    <w:tmpl w:val="F360296E"/>
    <w:lvl w:ilvl="0" w:tplc="F014B61E">
      <w:start w:val="1"/>
      <w:numFmt w:val="bullet"/>
      <w:lvlText w:val="•"/>
      <w:lvlJc w:val="left"/>
      <w:pPr>
        <w:ind w:left="720" w:hanging="360"/>
      </w:pPr>
    </w:lvl>
    <w:lvl w:ilvl="1" w:tplc="4A5867F2">
      <w:numFmt w:val="decimal"/>
      <w:lvlText w:val=""/>
      <w:lvlJc w:val="left"/>
    </w:lvl>
    <w:lvl w:ilvl="2" w:tplc="38BCF746">
      <w:numFmt w:val="decimal"/>
      <w:lvlText w:val=""/>
      <w:lvlJc w:val="left"/>
    </w:lvl>
    <w:lvl w:ilvl="3" w:tplc="F30E0D2E">
      <w:numFmt w:val="decimal"/>
      <w:lvlText w:val=""/>
      <w:lvlJc w:val="left"/>
    </w:lvl>
    <w:lvl w:ilvl="4" w:tplc="17268CD6">
      <w:numFmt w:val="decimal"/>
      <w:lvlText w:val=""/>
      <w:lvlJc w:val="left"/>
    </w:lvl>
    <w:lvl w:ilvl="5" w:tplc="5192D9B6">
      <w:numFmt w:val="decimal"/>
      <w:lvlText w:val=""/>
      <w:lvlJc w:val="left"/>
    </w:lvl>
    <w:lvl w:ilvl="6" w:tplc="AC4C6B0A">
      <w:numFmt w:val="decimal"/>
      <w:lvlText w:val=""/>
      <w:lvlJc w:val="left"/>
    </w:lvl>
    <w:lvl w:ilvl="7" w:tplc="BE2C3C66">
      <w:numFmt w:val="decimal"/>
      <w:lvlText w:val=""/>
      <w:lvlJc w:val="left"/>
    </w:lvl>
    <w:lvl w:ilvl="8" w:tplc="A824DF22">
      <w:numFmt w:val="decimal"/>
      <w:lvlText w:val=""/>
      <w:lvlJc w:val="left"/>
    </w:lvl>
  </w:abstractNum>
  <w:abstractNum w:abstractNumId="2" w15:restartNumberingAfterBreak="0">
    <w:nsid w:val="51F03BFB"/>
    <w:multiLevelType w:val="hybridMultilevel"/>
    <w:tmpl w:val="BDA04D12"/>
    <w:lvl w:ilvl="0" w:tplc="4506627E">
      <w:start w:val="1"/>
      <w:numFmt w:val="bullet"/>
      <w:lvlText w:val="●"/>
      <w:lvlJc w:val="left"/>
      <w:pPr>
        <w:ind w:left="720" w:hanging="360"/>
      </w:pPr>
    </w:lvl>
    <w:lvl w:ilvl="1" w:tplc="DA7C4F3E">
      <w:start w:val="1"/>
      <w:numFmt w:val="bullet"/>
      <w:lvlText w:val="○"/>
      <w:lvlJc w:val="left"/>
      <w:pPr>
        <w:ind w:left="1440" w:hanging="360"/>
      </w:pPr>
    </w:lvl>
    <w:lvl w:ilvl="2" w:tplc="96C48648">
      <w:start w:val="1"/>
      <w:numFmt w:val="bullet"/>
      <w:lvlText w:val="■"/>
      <w:lvlJc w:val="left"/>
      <w:pPr>
        <w:ind w:left="2160" w:hanging="360"/>
      </w:pPr>
    </w:lvl>
    <w:lvl w:ilvl="3" w:tplc="06289F0A">
      <w:start w:val="1"/>
      <w:numFmt w:val="bullet"/>
      <w:lvlText w:val="●"/>
      <w:lvlJc w:val="left"/>
      <w:pPr>
        <w:ind w:left="2880" w:hanging="360"/>
      </w:pPr>
    </w:lvl>
    <w:lvl w:ilvl="4" w:tplc="B874C920">
      <w:start w:val="1"/>
      <w:numFmt w:val="bullet"/>
      <w:lvlText w:val="○"/>
      <w:lvlJc w:val="left"/>
      <w:pPr>
        <w:ind w:left="3600" w:hanging="360"/>
      </w:pPr>
    </w:lvl>
    <w:lvl w:ilvl="5" w:tplc="525297A4">
      <w:start w:val="1"/>
      <w:numFmt w:val="bullet"/>
      <w:lvlText w:val="■"/>
      <w:lvlJc w:val="left"/>
      <w:pPr>
        <w:ind w:left="4320" w:hanging="360"/>
      </w:pPr>
    </w:lvl>
    <w:lvl w:ilvl="6" w:tplc="18607008">
      <w:start w:val="1"/>
      <w:numFmt w:val="bullet"/>
      <w:lvlText w:val="●"/>
      <w:lvlJc w:val="left"/>
      <w:pPr>
        <w:ind w:left="5040" w:hanging="360"/>
      </w:pPr>
    </w:lvl>
    <w:lvl w:ilvl="7" w:tplc="546E6B5A">
      <w:start w:val="1"/>
      <w:numFmt w:val="bullet"/>
      <w:lvlText w:val="●"/>
      <w:lvlJc w:val="left"/>
      <w:pPr>
        <w:ind w:left="5760" w:hanging="360"/>
      </w:pPr>
    </w:lvl>
    <w:lvl w:ilvl="8" w:tplc="FACAAC5E">
      <w:start w:val="1"/>
      <w:numFmt w:val="bullet"/>
      <w:lvlText w:val="●"/>
      <w:lvlJc w:val="left"/>
      <w:pPr>
        <w:ind w:left="6480" w:hanging="360"/>
      </w:pPr>
    </w:lvl>
  </w:abstractNum>
  <w:num w:numId="1" w16cid:durableId="331301173">
    <w:abstractNumId w:val="2"/>
    <w:lvlOverride w:ilvl="0">
      <w:startOverride w:val="1"/>
    </w:lvlOverride>
  </w:num>
  <w:num w:numId="2" w16cid:durableId="11174121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717"/>
    <w:rsid w:val="00281D06"/>
    <w:rsid w:val="002B332C"/>
    <w:rsid w:val="002E75E3"/>
    <w:rsid w:val="002F03DA"/>
    <w:rsid w:val="004B4DC7"/>
    <w:rsid w:val="004F1363"/>
    <w:rsid w:val="005C3C01"/>
    <w:rsid w:val="009F556C"/>
    <w:rsid w:val="00C87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0AE532"/>
  <w15:docId w15:val="{C1F36F76-CF5F-ED49-BAF8-4E2B2ACF1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0392B"/>
      </w:pBdr>
      <w:spacing w:before="360" w:after="200"/>
      <w:outlineLvl w:val="0"/>
    </w:pPr>
    <w:rPr>
      <w:b/>
      <w:bCs/>
      <w:color w:val="C0392B"/>
      <w:sz w:val="32"/>
      <w:szCs w:val="32"/>
    </w:rPr>
  </w:style>
  <w:style w:type="paragraph" w:styleId="Heading2">
    <w:name w:val="heading 2"/>
    <w:uiPriority w:val="9"/>
    <w:unhideWhenUsed/>
    <w:qFormat/>
    <w:pPr>
      <w:spacing w:before="280" w:after="160"/>
      <w:outlineLvl w:val="1"/>
    </w:pPr>
    <w:rPr>
      <w:b/>
      <w:bCs/>
      <w:color w:val="2C3E50"/>
      <w:sz w:val="26"/>
      <w:szCs w:val="26"/>
    </w:rPr>
  </w:style>
  <w:style w:type="paragraph" w:styleId="Heading3">
    <w:name w:val="heading 3"/>
    <w:uiPriority w:val="9"/>
    <w:semiHidden/>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F556C"/>
    <w:pPr>
      <w:tabs>
        <w:tab w:val="center" w:pos="4680"/>
        <w:tab w:val="right" w:pos="9360"/>
      </w:tabs>
    </w:pPr>
  </w:style>
  <w:style w:type="character" w:customStyle="1" w:styleId="HeaderChar">
    <w:name w:val="Header Char"/>
    <w:basedOn w:val="DefaultParagraphFont"/>
    <w:link w:val="Header"/>
    <w:uiPriority w:val="99"/>
    <w:rsid w:val="009F556C"/>
  </w:style>
  <w:style w:type="paragraph" w:styleId="Footer">
    <w:name w:val="footer"/>
    <w:basedOn w:val="Normal"/>
    <w:link w:val="FooterChar"/>
    <w:uiPriority w:val="99"/>
    <w:unhideWhenUsed/>
    <w:rsid w:val="009F556C"/>
    <w:pPr>
      <w:tabs>
        <w:tab w:val="center" w:pos="4680"/>
        <w:tab w:val="right" w:pos="9360"/>
      </w:tabs>
    </w:pPr>
  </w:style>
  <w:style w:type="character" w:customStyle="1" w:styleId="FooterChar">
    <w:name w:val="Footer Char"/>
    <w:basedOn w:val="DefaultParagraphFont"/>
    <w:link w:val="Footer"/>
    <w:uiPriority w:val="99"/>
    <w:rsid w:val="009F55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2753</Words>
  <Characters>15693</Characters>
  <Application>Microsoft Office Word</Application>
  <DocSecurity>0</DocSecurity>
  <Lines>130</Lines>
  <Paragraphs>36</Paragraphs>
  <ScaleCrop>false</ScaleCrop>
  <Company/>
  <LinksUpToDate>false</LinksUpToDate>
  <CharactersWithSpaces>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Raghuram Madiraju</cp:lastModifiedBy>
  <cp:revision>8</cp:revision>
  <dcterms:created xsi:type="dcterms:W3CDTF">2026-05-31T15:54:00Z</dcterms:created>
  <dcterms:modified xsi:type="dcterms:W3CDTF">2026-05-31T16:00:00Z</dcterms:modified>
</cp:coreProperties>
</file>