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HPV Vaccine Trafficome Project</w:t>
        <w:br/>
        <w:t>Continuation Handoff</w:t>
      </w:r>
    </w:p>
    <w:p>
      <w:pPr>
        <w:jc w:val="center"/>
      </w:pPr>
      <w:r>
        <w:rPr>
          <w:b/>
          <w:color w:val="505050"/>
          <w:sz w:val="24"/>
        </w:rPr>
        <w:t>Preserve this document before deleting the ChatGPT project</w:t>
      </w:r>
    </w:p>
    <w:p>
      <w:pPr>
        <w:jc w:val="center"/>
      </w:pPr>
      <w:r>
        <w:rPr>
          <w:sz w:val="21"/>
        </w:rPr>
        <w:t>Status date: 18 August 2026</w:t>
        <w:br/>
        <w:t>Author: Reuben S. Maghembe</w:t>
      </w:r>
    </w:p>
    <w:tbl>
      <w:tblPr>
        <w:tblW w:type="auto" w:w="0"/>
        <w:jc w:val="center"/>
        <w:tblLook w:firstColumn="1" w:firstRow="1" w:lastColumn="0" w:lastRow="0" w:noHBand="0" w:noVBand="1" w:val="04A0"/>
      </w:tblPr>
      <w:tblGrid>
        <w:gridCol w:w="10166"/>
      </w:tblGrid>
      <w:tr>
        <w:trPr>
          <w:cantSplit/>
        </w:trPr>
        <w:tc>
          <w:tcPr>
            <w:tcW w:type="dxa" w:w="10166"/>
            <w:shd w:fill="FFF2CC"/>
            <w:tcMar>
              <w:top w:w="140" w:type="dxa"/>
              <w:start w:w="160" w:type="dxa"/>
              <w:bottom w:w="140" w:type="dxa"/>
              <w:end w:w="160" w:type="dxa"/>
            </w:tcMar>
          </w:tcPr>
          <w:p>
            <w:r>
              <w:rPr>
                <w:b/>
                <w:color w:val="1F4E79"/>
                <w:sz w:val="22"/>
              </w:rPr>
              <w:t>RESUME FROM HERE</w:t>
              <w:br/>
            </w:r>
            <w:r>
              <w:rPr>
                <w:sz w:val="21"/>
              </w:rPr>
              <w:t>The scientific analysis and publication figures are complete. The current journal target is Vaccine (Elsevier), article type Original Article. The latest canonical manuscript is Vaccine v5.1 with the title shown below. Do not rerun the Fiji analysis or redesign the validated figures unless a journal decision or specific reviewer request requires it. Before any final upload, audit the current submission staging folder because the last observed staged Manuscript.docx and Cover_Letter.docx had file sizes different from the canonical v5.1 copies.</w:t>
            </w:r>
          </w:p>
        </w:tc>
      </w:tr>
    </w:tbl>
    <w:p>
      <w:pPr>
        <w:spacing w:after="20"/>
      </w:pPr>
    </w:p>
    <w:p>
      <w:pPr>
        <w:jc w:val="center"/>
      </w:pPr>
      <w:r>
        <w:rPr>
          <w:b/>
          <w:sz w:val="21"/>
        </w:rPr>
        <w:t>Current manuscript title</w:t>
      </w:r>
    </w:p>
    <w:p>
      <w:pPr>
        <w:jc w:val="center"/>
      </w:pPr>
      <w:r>
        <w:rPr>
          <w:b/>
          <w:color w:val="1F4E79"/>
          <w:sz w:val="26"/>
        </w:rPr>
        <w:t>Systems serology reveals continuous immune-state organization of long-term and heterologous recall responses after human papillomavirus vaccination in Fiji</w:t>
      </w:r>
    </w:p>
    <w:p>
      <w:r>
        <w:br w:type="page"/>
      </w:r>
    </w:p>
    <w:p>
      <w:pPr>
        <w:pStyle w:val="Heading1"/>
      </w:pPr>
      <w:r>
        <w:t>1. Executive status snapshot</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D9EAF7"/>
            <w:tcMar>
              <w:top w:w="100" w:type="dxa"/>
              <w:start w:w="100" w:type="dxa"/>
              <w:bottom w:w="100" w:type="dxa"/>
              <w:end w:w="100" w:type="dxa"/>
            </w:tcMar>
            <w:vAlign w:val="center"/>
          </w:tcPr>
          <w:p>
            <w:r>
              <w:rPr>
                <w:b/>
              </w:rPr>
              <w:t>Item</w:t>
            </w:r>
          </w:p>
        </w:tc>
        <w:tc>
          <w:tcPr>
            <w:tcW w:type="dxa" w:w="5083"/>
            <w:shd w:fill="D9EAF7"/>
            <w:tcMar>
              <w:top w:w="100" w:type="dxa"/>
              <w:start w:w="100" w:type="dxa"/>
              <w:bottom w:w="100" w:type="dxa"/>
              <w:end w:w="100" w:type="dxa"/>
            </w:tcMar>
            <w:vAlign w:val="center"/>
          </w:tcPr>
          <w:p>
            <w:r>
              <w:rPr>
                <w:b/>
              </w:rPr>
              <w:t>Current status</w:t>
            </w:r>
          </w:p>
        </w:tc>
      </w:tr>
      <w:tr>
        <w:trPr>
          <w:cantSplit/>
        </w:trPr>
        <w:tc>
          <w:tcPr>
            <w:tcW w:type="dxa" w:w="5083"/>
            <w:tcMar>
              <w:top w:w="100" w:type="dxa"/>
              <w:start w:w="100" w:type="dxa"/>
              <w:bottom w:w="100" w:type="dxa"/>
              <w:end w:w="100" w:type="dxa"/>
            </w:tcMar>
            <w:vAlign w:val="center"/>
          </w:tcPr>
          <w:p>
            <w:r>
              <w:rPr>
                <w:b/>
              </w:rPr>
              <w:t>Project</w:t>
            </w:r>
          </w:p>
        </w:tc>
        <w:tc>
          <w:tcPr>
            <w:tcW w:type="dxa" w:w="5083"/>
            <w:tcMar>
              <w:top w:w="100" w:type="dxa"/>
              <w:start w:w="100" w:type="dxa"/>
              <w:bottom w:w="100" w:type="dxa"/>
              <w:end w:w="100" w:type="dxa"/>
            </w:tcMar>
            <w:vAlign w:val="center"/>
          </w:tcPr>
          <w:p>
            <w:r>
              <w:t>HPV Vaccine Trafficome Project — Fiji systems-serology secondary analysis</w:t>
            </w:r>
          </w:p>
        </w:tc>
      </w:tr>
      <w:tr>
        <w:trPr>
          <w:cantSplit/>
        </w:trPr>
        <w:tc>
          <w:tcPr>
            <w:tcW w:type="dxa" w:w="5083"/>
            <w:tcMar>
              <w:top w:w="100" w:type="dxa"/>
              <w:start w:w="100" w:type="dxa"/>
              <w:bottom w:w="100" w:type="dxa"/>
              <w:end w:w="100" w:type="dxa"/>
            </w:tcMar>
            <w:vAlign w:val="center"/>
          </w:tcPr>
          <w:p>
            <w:r>
              <w:rPr>
                <w:b/>
              </w:rPr>
              <w:t>Scientific state</w:t>
            </w:r>
          </w:p>
        </w:tc>
        <w:tc>
          <w:tcPr>
            <w:tcW w:type="dxa" w:w="5083"/>
            <w:tcMar>
              <w:top w:w="100" w:type="dxa"/>
              <w:start w:w="100" w:type="dxa"/>
              <w:bottom w:w="100" w:type="dxa"/>
              <w:end w:w="100" w:type="dxa"/>
            </w:tcMar>
            <w:vAlign w:val="center"/>
          </w:tcPr>
          <w:p>
            <w:r>
              <w:t>Analysis complete through Fiji multivariate/figure package; no pending computation.</w:t>
            </w:r>
          </w:p>
        </w:tc>
      </w:tr>
      <w:tr>
        <w:trPr>
          <w:cantSplit/>
        </w:trPr>
        <w:tc>
          <w:tcPr>
            <w:tcW w:type="dxa" w:w="5083"/>
            <w:tcMar>
              <w:top w:w="100" w:type="dxa"/>
              <w:start w:w="100" w:type="dxa"/>
              <w:bottom w:w="100" w:type="dxa"/>
              <w:end w:w="100" w:type="dxa"/>
            </w:tcMar>
            <w:vAlign w:val="center"/>
          </w:tcPr>
          <w:p>
            <w:r>
              <w:rPr>
                <w:b/>
              </w:rPr>
              <w:t>Current target journal</w:t>
            </w:r>
          </w:p>
        </w:tc>
        <w:tc>
          <w:tcPr>
            <w:tcW w:type="dxa" w:w="5083"/>
            <w:tcMar>
              <w:top w:w="100" w:type="dxa"/>
              <w:start w:w="100" w:type="dxa"/>
              <w:bottom w:w="100" w:type="dxa"/>
              <w:end w:w="100" w:type="dxa"/>
            </w:tcMar>
            <w:vAlign w:val="center"/>
          </w:tcPr>
          <w:p>
            <w:r>
              <w:t>Vaccine (Elsevier), Original Article</w:t>
            </w:r>
          </w:p>
        </w:tc>
      </w:tr>
      <w:tr>
        <w:trPr>
          <w:cantSplit/>
        </w:trPr>
        <w:tc>
          <w:tcPr>
            <w:tcW w:type="dxa" w:w="5083"/>
            <w:tcMar>
              <w:top w:w="100" w:type="dxa"/>
              <w:start w:w="100" w:type="dxa"/>
              <w:bottom w:w="100" w:type="dxa"/>
              <w:end w:w="100" w:type="dxa"/>
            </w:tcMar>
            <w:vAlign w:val="center"/>
          </w:tcPr>
          <w:p>
            <w:r>
              <w:rPr>
                <w:b/>
              </w:rPr>
              <w:t>Previous journal outcome</w:t>
            </w:r>
          </w:p>
        </w:tc>
        <w:tc>
          <w:tcPr>
            <w:tcW w:type="dxa" w:w="5083"/>
            <w:tcMar>
              <w:top w:w="100" w:type="dxa"/>
              <w:start w:w="100" w:type="dxa"/>
              <w:bottom w:w="100" w:type="dxa"/>
              <w:end w:w="100" w:type="dxa"/>
            </w:tcMar>
            <w:vAlign w:val="center"/>
          </w:tcPr>
          <w:p>
            <w:r>
              <w:t>The Journal of Infectious Diseases (JID-85813): editorial rejection on 13 Aug 2026; optional transfer to Research Connections was offered, but the project was retargeted instead.</w:t>
            </w:r>
          </w:p>
        </w:tc>
      </w:tr>
      <w:tr>
        <w:trPr>
          <w:cantSplit/>
        </w:trPr>
        <w:tc>
          <w:tcPr>
            <w:tcW w:type="dxa" w:w="5083"/>
            <w:tcMar>
              <w:top w:w="100" w:type="dxa"/>
              <w:start w:w="100" w:type="dxa"/>
              <w:bottom w:w="100" w:type="dxa"/>
              <w:end w:w="100" w:type="dxa"/>
            </w:tcMar>
            <w:vAlign w:val="center"/>
          </w:tcPr>
          <w:p>
            <w:r>
              <w:rPr>
                <w:b/>
              </w:rPr>
              <w:t>Canonical manuscript</w:t>
            </w:r>
          </w:p>
        </w:tc>
        <w:tc>
          <w:tcPr>
            <w:tcW w:type="dxa" w:w="5083"/>
            <w:tcMar>
              <w:top w:w="100" w:type="dxa"/>
              <w:start w:w="100" w:type="dxa"/>
              <w:bottom w:w="100" w:type="dxa"/>
              <w:end w:w="100" w:type="dxa"/>
            </w:tcMar>
            <w:vAlign w:val="center"/>
          </w:tcPr>
          <w:p>
            <w:r>
              <w:t>Fiji_HPV_systems_serology_Vaccine_Original_Article_v5_1.docx</w:t>
            </w:r>
          </w:p>
        </w:tc>
      </w:tr>
      <w:tr>
        <w:trPr>
          <w:cantSplit/>
        </w:trPr>
        <w:tc>
          <w:tcPr>
            <w:tcW w:type="dxa" w:w="5083"/>
            <w:tcMar>
              <w:top w:w="100" w:type="dxa"/>
              <w:start w:w="100" w:type="dxa"/>
              <w:bottom w:w="100" w:type="dxa"/>
              <w:end w:w="100" w:type="dxa"/>
            </w:tcMar>
            <w:vAlign w:val="center"/>
          </w:tcPr>
          <w:p>
            <w:r>
              <w:rPr>
                <w:b/>
              </w:rPr>
              <w:t>Canonical cover letter</w:t>
            </w:r>
          </w:p>
        </w:tc>
        <w:tc>
          <w:tcPr>
            <w:tcW w:type="dxa" w:w="5083"/>
            <w:tcMar>
              <w:top w:w="100" w:type="dxa"/>
              <w:start w:w="100" w:type="dxa"/>
              <w:bottom w:w="100" w:type="dxa"/>
              <w:end w:w="100" w:type="dxa"/>
            </w:tcMar>
            <w:vAlign w:val="center"/>
          </w:tcPr>
          <w:p>
            <w:r>
              <w:t>Vaccine_Cover_Letter_Fiji_HPV_systems_serology_v5_1.docx</w:t>
            </w:r>
          </w:p>
        </w:tc>
      </w:tr>
      <w:tr>
        <w:trPr>
          <w:cantSplit/>
        </w:trPr>
        <w:tc>
          <w:tcPr>
            <w:tcW w:type="dxa" w:w="5083"/>
            <w:tcMar>
              <w:top w:w="100" w:type="dxa"/>
              <w:start w:w="100" w:type="dxa"/>
              <w:bottom w:w="100" w:type="dxa"/>
              <w:end w:w="100" w:type="dxa"/>
            </w:tcMar>
            <w:vAlign w:val="center"/>
          </w:tcPr>
          <w:p>
            <w:r>
              <w:rPr>
                <w:b/>
              </w:rPr>
              <w:t>Local project root</w:t>
            </w:r>
          </w:p>
        </w:tc>
        <w:tc>
          <w:tcPr>
            <w:tcW w:type="dxa" w:w="5083"/>
            <w:tcMar>
              <w:top w:w="100" w:type="dxa"/>
              <w:start w:w="100" w:type="dxa"/>
              <w:bottom w:w="100" w:type="dxa"/>
              <w:end w:w="100" w:type="dxa"/>
            </w:tcMar>
            <w:vAlign w:val="center"/>
          </w:tcPr>
          <w:p>
            <w:r>
              <w:t>D:\HPV_Vaccine_Trafficome_Project_PRISTINE  /  WSL: /mnt/d/HPV_Vaccine_Trafficome_Project_PRISTINE</w:t>
            </w:r>
          </w:p>
        </w:tc>
      </w:tr>
      <w:tr>
        <w:trPr>
          <w:cantSplit/>
        </w:trPr>
        <w:tc>
          <w:tcPr>
            <w:tcW w:type="dxa" w:w="5083"/>
            <w:tcMar>
              <w:top w:w="100" w:type="dxa"/>
              <w:start w:w="100" w:type="dxa"/>
              <w:bottom w:w="100" w:type="dxa"/>
              <w:end w:w="100" w:type="dxa"/>
            </w:tcMar>
            <w:vAlign w:val="center"/>
          </w:tcPr>
          <w:p>
            <w:r>
              <w:rPr>
                <w:b/>
              </w:rPr>
              <w:t>Submission staging</w:t>
            </w:r>
          </w:p>
        </w:tc>
        <w:tc>
          <w:tcPr>
            <w:tcW w:type="dxa" w:w="5083"/>
            <w:tcMar>
              <w:top w:w="100" w:type="dxa"/>
              <w:start w:w="100" w:type="dxa"/>
              <w:bottom w:w="100" w:type="dxa"/>
              <w:end w:w="100" w:type="dxa"/>
            </w:tcMar>
            <w:vAlign w:val="center"/>
          </w:tcPr>
          <w:p>
            <w:r>
              <w:t>11_manuscript/Vaccine_submission_2026-08-15/UPLOAD_READY</w:t>
            </w:r>
          </w:p>
        </w:tc>
      </w:tr>
      <w:tr>
        <w:trPr>
          <w:cantSplit/>
        </w:trPr>
        <w:tc>
          <w:tcPr>
            <w:tcW w:type="dxa" w:w="5083"/>
            <w:tcMar>
              <w:top w:w="100" w:type="dxa"/>
              <w:start w:w="100" w:type="dxa"/>
              <w:bottom w:w="100" w:type="dxa"/>
              <w:end w:w="100" w:type="dxa"/>
            </w:tcMar>
            <w:vAlign w:val="center"/>
          </w:tcPr>
          <w:p>
            <w:r>
              <w:rPr>
                <w:b/>
              </w:rPr>
              <w:t>Main figures</w:t>
            </w:r>
          </w:p>
        </w:tc>
        <w:tc>
          <w:tcPr>
            <w:tcW w:type="dxa" w:w="5083"/>
            <w:tcMar>
              <w:top w:w="100" w:type="dxa"/>
              <w:start w:w="100" w:type="dxa"/>
              <w:bottom w:w="100" w:type="dxa"/>
              <w:end w:w="100" w:type="dxa"/>
            </w:tcMar>
            <w:vAlign w:val="center"/>
          </w:tcPr>
          <w:p>
            <w:r>
              <w:t>Figures 1–6, final validated TIFFs</w:t>
            </w:r>
          </w:p>
        </w:tc>
      </w:tr>
      <w:tr>
        <w:trPr>
          <w:cantSplit/>
        </w:trPr>
        <w:tc>
          <w:tcPr>
            <w:tcW w:type="dxa" w:w="5083"/>
            <w:tcMar>
              <w:top w:w="100" w:type="dxa"/>
              <w:start w:w="100" w:type="dxa"/>
              <w:bottom w:w="100" w:type="dxa"/>
              <w:end w:w="100" w:type="dxa"/>
            </w:tcMar>
            <w:vAlign w:val="center"/>
          </w:tcPr>
          <w:p>
            <w:r>
              <w:rPr>
                <w:b/>
              </w:rPr>
              <w:t>Supplementary material</w:t>
            </w:r>
          </w:p>
        </w:tc>
        <w:tc>
          <w:tcPr>
            <w:tcW w:type="dxa" w:w="5083"/>
            <w:tcMar>
              <w:top w:w="100" w:type="dxa"/>
              <w:start w:w="100" w:type="dxa"/>
              <w:bottom w:w="100" w:type="dxa"/>
              <w:end w:w="100" w:type="dxa"/>
            </w:tcMar>
            <w:vAlign w:val="center"/>
          </w:tcPr>
          <w:p>
            <w:r>
              <w:t>One item only: Supplementary Figure S1 (TIFF). No supplementary tables/methods package currently.</w:t>
            </w:r>
          </w:p>
        </w:tc>
      </w:tr>
      <w:tr>
        <w:trPr>
          <w:cantSplit/>
        </w:trPr>
        <w:tc>
          <w:tcPr>
            <w:tcW w:type="dxa" w:w="5083"/>
            <w:tcMar>
              <w:top w:w="100" w:type="dxa"/>
              <w:start w:w="100" w:type="dxa"/>
              <w:bottom w:w="100" w:type="dxa"/>
              <w:end w:w="100" w:type="dxa"/>
            </w:tcMar>
            <w:vAlign w:val="center"/>
          </w:tcPr>
          <w:p>
            <w:r>
              <w:rPr>
                <w:b/>
              </w:rPr>
              <w:t>Data/reproducibility</w:t>
            </w:r>
          </w:p>
        </w:tc>
        <w:tc>
          <w:tcPr>
            <w:tcW w:type="dxa" w:w="5083"/>
            <w:tcMar>
              <w:top w:w="100" w:type="dxa"/>
              <w:start w:w="100" w:type="dxa"/>
              <w:bottom w:w="100" w:type="dxa"/>
              <w:end w:w="100" w:type="dxa"/>
            </w:tcMar>
            <w:vAlign w:val="center"/>
          </w:tcPr>
          <w:p>
            <w:r>
              <w:t>Public Zenodo source dataset + public GitHub analysis repository/release</w:t>
            </w:r>
          </w:p>
        </w:tc>
      </w:tr>
    </w:tbl>
    <w:p>
      <w:pPr>
        <w:pStyle w:val="Heading2"/>
      </w:pPr>
      <w:r>
        <w:t>Immediate rule for a future continuation chat</w:t>
      </w:r>
    </w:p>
    <w:p>
      <w:pPr>
        <w:spacing w:after="60"/>
        <w:ind w:left="0" w:firstLine="0"/>
      </w:pPr>
      <w:r>
        <w:rPr>
          <w:b/>
        </w:rPr>
        <w:t xml:space="preserve">1. </w:t>
      </w:r>
      <w:r>
        <w:t>Upload this handoff DOCX first and tell the assistant to treat it and the local project files as the authoritative continuation record.</w:t>
      </w:r>
    </w:p>
    <w:p>
      <w:pPr>
        <w:spacing w:after="60"/>
        <w:ind w:left="0" w:firstLine="0"/>
      </w:pPr>
      <w:r>
        <w:rPr>
          <w:b/>
        </w:rPr>
        <w:t xml:space="preserve">2. </w:t>
      </w:r>
      <w:r>
        <w:t>Verify the local filesystem and current submission-folder hashes before changing anything; do not infer the active upload version from file names alone.</w:t>
      </w:r>
    </w:p>
    <w:p>
      <w:pPr>
        <w:spacing w:after="60"/>
        <w:ind w:left="0" w:firstLine="0"/>
      </w:pPr>
      <w:r>
        <w:rPr>
          <w:b/>
        </w:rPr>
        <w:t xml:space="preserve">3. </w:t>
      </w:r>
      <w:r>
        <w:t>Resume at the Vaccine submission/decision stage. Do not reopen completed analyses or publication figures unless specifically required.</w:t>
      </w:r>
    </w:p>
    <w:p>
      <w:pPr>
        <w:pStyle w:val="Heading1"/>
      </w:pPr>
      <w:r>
        <w:t>2. Scientific scope and non-negotiable interpretation guardrails</w:t>
      </w:r>
    </w:p>
    <w:p>
      <w:pPr>
        <w:pStyle w:val="ListBullet"/>
        <w:spacing w:after="40"/>
      </w:pPr>
      <w:r>
        <w:t>The study is a secondary reanalysis of publicly available longitudinal systems-serology data from the Fiji HPV vaccine study, ClinicalTrials.gov NCT02276521.</w:t>
      </w:r>
    </w:p>
    <w:p>
      <w:pPr>
        <w:pStyle w:val="ListBullet"/>
        <w:spacing w:after="40"/>
      </w:pPr>
      <w:r>
        <w:t>The analytical cohort contains 80 participants with 0, 1, 2, or 3 previous quadrivalent HPV vaccine doses: n=20, 20, 21, and 19, respectively.</w:t>
      </w:r>
    </w:p>
    <w:p>
      <w:pPr>
        <w:pStyle w:val="ListBullet"/>
        <w:spacing w:after="40"/>
      </w:pPr>
      <w:r>
        <w:t>Participants with 0 prior 4vHPV doses define primary bivalent vaccination; participants with 1–3 prior 4vHPV doses define approximately six-year persistence and heterologous bivalent recall.</w:t>
      </w:r>
    </w:p>
    <w:p>
      <w:pPr>
        <w:pStyle w:val="ListBullet"/>
        <w:spacing w:after="40"/>
      </w:pPr>
      <w:r>
        <w:t>The systems-serology matrix contains 92 observed antigen-feature combinations spanning antibody abundance, IgG subclasses, Fc-receptor binding, neutralization, and antibody-dependent cellular phagocytosis (ADCP).</w:t>
      </w:r>
    </w:p>
    <w:p>
      <w:pPr>
        <w:pStyle w:val="ListBullet"/>
        <w:spacing w:after="40"/>
      </w:pPr>
      <w:r>
        <w:t>Intracellular trafficking, endosomal routing, antigen processing, and antigen presentation were NOT directly measured. They may be discussed only as upstream biological context, never as measured mechanisms or causal explanations.</w:t>
      </w:r>
    </w:p>
    <w:p>
      <w:pPr>
        <w:pStyle w:val="ListBullet"/>
        <w:spacing w:after="40"/>
      </w:pPr>
      <w:r>
        <w:t>The study does NOT estimate vaccine efficacy, does NOT establish a correlate of protection, and does NOT demonstrate clinical protection from the measured systems-serology states.</w:t>
      </w:r>
    </w:p>
    <w:p>
      <w:pPr>
        <w:pStyle w:val="ListBullet"/>
        <w:spacing w:after="40"/>
      </w:pPr>
      <w:r>
        <w:t>Matched BPV subtraction is a sensitivity analysis for shared assay background, not a claim that BPV is biologically inert or that calibrated values are universally superior.</w:t>
      </w:r>
    </w:p>
    <w:p>
      <w:pPr>
        <w:pStyle w:val="ListBullet"/>
        <w:spacing w:after="40"/>
      </w:pPr>
      <w:r>
        <w:t>The preferred interpretation is continuous, context-responsive immune-state organization rather than intrinsic stable responder subtypes. The stable raw k=2 solution was largely context-dominated.</w:t>
      </w:r>
    </w:p>
    <w:p>
      <w:pPr>
        <w:pStyle w:val="ListBullet"/>
        <w:spacing w:after="40"/>
      </w:pPr>
      <w:r>
        <w:t>Host covariates are limited in the public workbook. Do not claim that multivariate axes are independent of age, BMI, ethnicity, sex, medical/immunologic status, smoking, or concomitant drug use.</w:t>
      </w:r>
    </w:p>
    <w:p>
      <w:pPr>
        <w:pStyle w:val="Heading1"/>
      </w:pPr>
      <w:r>
        <w:t>3. Source study, vaccine details, and analytical methods</w:t>
      </w:r>
    </w:p>
    <w:p>
      <w:pPr>
        <w:pStyle w:val="Heading2"/>
      </w:pPr>
      <w:r>
        <w:t>3.1 Vaccine/source-study details available in the Vaccine v5.1 manuscript</w:t>
      </w:r>
    </w:p>
    <w:p>
      <w:pPr>
        <w:pStyle w:val="ListBullet"/>
        <w:spacing w:after="40"/>
      </w:pPr>
      <w:r>
        <w:t>Historical vaccine: quadrivalent HPV vaccine (4vHPV; Gardasil, Merck), administered during the 2008–2009 Fiji vaccination campaign.</w:t>
      </w:r>
    </w:p>
    <w:p>
      <w:pPr>
        <w:pStyle w:val="ListBullet"/>
        <w:spacing w:after="40"/>
      </w:pPr>
      <w:r>
        <w:t>Recall vaccine: bivalent HPV vaccine (2vHPV; Cervarix, GlaxoSmithKline), single 0.5-mL monodose prefilled vial containing 20 micrograms each of HPV16 and HPV18 virus-like particles, adjuvanted with AS04.</w:t>
      </w:r>
    </w:p>
    <w:p>
      <w:pPr>
        <w:pStyle w:val="ListBullet"/>
        <w:spacing w:after="40"/>
      </w:pPr>
      <w:r>
        <w:t>Blood was collected before and 28 days after the bivalent dose in the parent study.</w:t>
      </w:r>
    </w:p>
    <w:p>
      <w:pPr>
        <w:pStyle w:val="ListBullet"/>
        <w:spacing w:after="40"/>
      </w:pPr>
      <w:r>
        <w:t>The source cohort was 15–19 years of age at recruitment and included the two principal ethnic groups reported by the parent investigators; the public systems-serology workbook does not expose all participant-level covariates in a form usable for this reanalysis.</w:t>
      </w:r>
    </w:p>
    <w:p>
      <w:pPr>
        <w:pStyle w:val="ListBullet"/>
        <w:spacing w:after="40"/>
      </w:pPr>
      <w:r>
        <w:t>Not available for the 80-participant public analytical subset: vaccine lot numbers, injection site, needle length, detailed administration technique, cold-chain variables, concomitant-vaccine information, and complete participant-level BMI/smoking/medical/drug-use variables.</w:t>
      </w:r>
    </w:p>
    <w:tbl>
      <w:tblPr>
        <w:tblW w:type="auto" w:w="0"/>
        <w:jc w:val="center"/>
        <w:tblLook w:firstColumn="1" w:firstRow="1" w:lastColumn="0" w:lastRow="0" w:noHBand="0" w:noVBand="1" w:val="04A0"/>
      </w:tblPr>
      <w:tblGrid>
        <w:gridCol w:w="10166"/>
      </w:tblGrid>
      <w:tr>
        <w:trPr>
          <w:cantSplit/>
        </w:trPr>
        <w:tc>
          <w:tcPr>
            <w:tcW w:type="dxa" w:w="10166"/>
            <w:shd w:fill="FCE4D6"/>
            <w:tcMar>
              <w:top w:w="140" w:type="dxa"/>
              <w:start w:w="160" w:type="dxa"/>
              <w:bottom w:w="140" w:type="dxa"/>
              <w:end w:w="160" w:type="dxa"/>
            </w:tcMar>
          </w:tcPr>
          <w:p>
            <w:r>
              <w:rPr>
                <w:b/>
                <w:color w:val="1F4E79"/>
                <w:sz w:val="22"/>
              </w:rPr>
              <w:t>Important submission-form consequence</w:t>
              <w:br/>
            </w:r>
            <w:r>
              <w:rPr>
                <w:sz w:val="21"/>
              </w:rPr>
              <w:t>If Vaccine asks the author to certify that every detailed vaccine and subject characteristic is included, do not certify that all details are present. This is a secondary analysis and several required details are not available in the public dataset/source report at participant level. Use an explanatory response if the portal permits one.</w:t>
            </w:r>
          </w:p>
        </w:tc>
      </w:tr>
    </w:tbl>
    <w:p>
      <w:pPr>
        <w:spacing w:after="20"/>
      </w:pPr>
    </w:p>
    <w:p>
      <w:pPr>
        <w:pStyle w:val="Heading2"/>
      </w:pPr>
      <w:r>
        <w:t>3.2 Core analytical methods</w:t>
      </w:r>
    </w:p>
    <w:p>
      <w:pPr>
        <w:pStyle w:val="ListBullet"/>
        <w:spacing w:after="40"/>
      </w:pPr>
      <w:r>
        <w:t>Paired log2 within-participant changes; Welch tests for specified between-group contrasts; two-sided 95% CIs; Benjamini–Hochberg FDR within prespecified families; q&lt;0.05.</w:t>
      </w:r>
    </w:p>
    <w:p>
      <w:pPr>
        <w:pStyle w:val="ListBullet"/>
        <w:spacing w:after="40"/>
      </w:pPr>
      <w:r>
        <w:t>Participant-random-intercept mixed models with visit, previous-dose indicators, and visit-by-dose interactions. All 92 feature-level models ultimately converged after targeted optimizer repair of HPV16 Fc-gamma-R2A.</w:t>
      </w:r>
    </w:p>
    <w:p>
      <w:pPr>
        <w:pStyle w:val="ListBullet"/>
        <w:spacing w:after="40"/>
      </w:pPr>
      <w:r>
        <w:t>Matched BPV calibration: HPV log2 change minus matched BPV log2 change for the same assay feature; effects categorized as supported, attenuated, newly apparent, direction-changing, or unsupported.</w:t>
      </w:r>
    </w:p>
    <w:p>
      <w:pPr>
        <w:pStyle w:val="ListBullet"/>
        <w:spacing w:after="40"/>
      </w:pPr>
      <w:r>
        <w:t>Cross-reactive breadth summarized across HPV31/33/45/52/58 using family-specific median/mean scores and number of types above a twofold threshold.</w:t>
      </w:r>
    </w:p>
    <w:p>
      <w:pPr>
        <w:pStyle w:val="ListBullet"/>
        <w:spacing w:after="40"/>
      </w:pPr>
      <w:r>
        <w:t>Functional coupling: zero-order Spearman plus partial Spearman for recall ADCP-neutralization, adjusting for previous-dose group via rank transformation and residualization.</w:t>
      </w:r>
    </w:p>
    <w:p>
      <w:pPr>
        <w:pStyle w:val="ListBullet"/>
        <w:spacing w:after="40"/>
      </w:pPr>
      <w:r>
        <w:t>PCA on standardized raw and BPV-calibrated change matrices; 300 participant-bootstrap replicates for first five PCs plus leave-one-feature-family-out perturbation.</w:t>
      </w:r>
    </w:p>
    <w:p>
      <w:pPr>
        <w:pStyle w:val="ListBullet"/>
        <w:spacing w:after="40"/>
      </w:pPr>
      <w:r>
        <w:t>k-means clustering k=2–6, 100 initializations, Lloyd algorithm, base seed 20260805; stability across 100 subsamples containing 80% of participants. Prespecified stable solution: mean subsampling ARI &gt;=0.75, silhouette &gt;=0.20, smallest cluster &gt;=8.</w:t>
      </w:r>
    </w:p>
    <w:p>
      <w:pPr>
        <w:pStyle w:val="ListBullet"/>
        <w:spacing w:after="40"/>
      </w:pPr>
      <w:r>
        <w:t>Software in manuscript: NumPy 2.3.2, pandas 2.3.3, SciPy 1.16.1, scikit-learn 1.9.0, statsmodels 0.14.6.</w:t>
      </w:r>
    </w:p>
    <w:p>
      <w:pPr>
        <w:pStyle w:val="Heading1"/>
      </w:pPr>
      <w:r>
        <w:t>4. Key results that define the manuscript narrative</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D9EAF7"/>
            <w:tcMar>
              <w:top w:w="100" w:type="dxa"/>
              <w:start w:w="100" w:type="dxa"/>
              <w:bottom w:w="100" w:type="dxa"/>
              <w:end w:w="100" w:type="dxa"/>
            </w:tcMar>
          </w:tcPr>
          <w:p>
            <w:r>
              <w:rPr>
                <w:b/>
              </w:rPr>
              <w:t>Result domain</w:t>
            </w:r>
          </w:p>
        </w:tc>
        <w:tc>
          <w:tcPr>
            <w:tcW w:type="dxa" w:w="5083"/>
            <w:shd w:fill="D9EAF7"/>
            <w:tcMar>
              <w:top w:w="100" w:type="dxa"/>
              <w:start w:w="100" w:type="dxa"/>
              <w:bottom w:w="100" w:type="dxa"/>
              <w:end w:w="100" w:type="dxa"/>
            </w:tcMar>
          </w:tcPr>
          <w:p>
            <w:r>
              <w:rPr>
                <w:b/>
              </w:rPr>
              <w:t>Frozen interpretation / values</w:t>
            </w:r>
          </w:p>
        </w:tc>
      </w:tr>
      <w:tr>
        <w:trPr>
          <w:cantSplit/>
        </w:trPr>
        <w:tc>
          <w:tcPr>
            <w:tcW w:type="dxa" w:w="5083"/>
            <w:tcMar>
              <w:top w:w="100" w:type="dxa"/>
              <w:start w:w="100" w:type="dxa"/>
              <w:bottom w:w="100" w:type="dxa"/>
              <w:end w:w="100" w:type="dxa"/>
            </w:tcMar>
            <w:vAlign w:val="center"/>
          </w:tcPr>
          <w:p>
            <w:r>
              <w:rPr>
                <w:b/>
              </w:rPr>
              <w:t>Primary induction</w:t>
            </w:r>
          </w:p>
        </w:tc>
        <w:tc>
          <w:tcPr>
            <w:tcW w:type="dxa" w:w="5083"/>
            <w:tcMar>
              <w:top w:w="100" w:type="dxa"/>
              <w:start w:w="100" w:type="dxa"/>
              <w:bottom w:w="100" w:type="dxa"/>
              <w:end w:w="100" w:type="dxa"/>
            </w:tcMar>
            <w:vAlign w:val="center"/>
          </w:tcPr>
          <w:p>
            <w:r>
              <w:t>Coordinated HPV16/18 binding, subclass, neutralizing, and phagocytic responses after primary bivalent vaccination; representative primary effects include HPV16 IgG +6.455 log2, HPV16 neutralization +5.100, HPV18 IgG +3.751, HPV18 neutralization +3.900.</w:t>
            </w:r>
          </w:p>
        </w:tc>
      </w:tr>
      <w:tr>
        <w:trPr>
          <w:cantSplit/>
        </w:trPr>
        <w:tc>
          <w:tcPr>
            <w:tcW w:type="dxa" w:w="5083"/>
            <w:tcMar>
              <w:top w:w="100" w:type="dxa"/>
              <w:start w:w="100" w:type="dxa"/>
              <w:bottom w:w="100" w:type="dxa"/>
              <w:end w:w="100" w:type="dxa"/>
            </w:tcMar>
            <w:vAlign w:val="center"/>
          </w:tcPr>
          <w:p>
            <w:r>
              <w:rPr>
                <w:b/>
              </w:rPr>
              <w:t>Six-year persistence</w:t>
            </w:r>
          </w:p>
        </w:tc>
        <w:tc>
          <w:tcPr>
            <w:tcW w:type="dxa" w:w="5083"/>
            <w:tcMar>
              <w:top w:w="100" w:type="dxa"/>
              <w:start w:w="100" w:type="dxa"/>
              <w:bottom w:w="100" w:type="dxa"/>
              <w:end w:w="100" w:type="dxa"/>
            </w:tcMar>
            <w:vAlign w:val="center"/>
          </w:tcPr>
          <w:p>
            <w:r>
              <w:t>Vaccine-type signals remained measurable approximately six years after prior quadrivalent vaccination.</w:t>
            </w:r>
          </w:p>
        </w:tc>
      </w:tr>
      <w:tr>
        <w:trPr>
          <w:cantSplit/>
        </w:trPr>
        <w:tc>
          <w:tcPr>
            <w:tcW w:type="dxa" w:w="5083"/>
            <w:tcMar>
              <w:top w:w="100" w:type="dxa"/>
              <w:start w:w="100" w:type="dxa"/>
              <w:bottom w:w="100" w:type="dxa"/>
              <w:end w:w="100" w:type="dxa"/>
            </w:tcMar>
            <w:vAlign w:val="center"/>
          </w:tcPr>
          <w:p>
            <w:r>
              <w:rPr>
                <w:b/>
              </w:rPr>
              <w:t>Cross-reactive recall breadth</w:t>
            </w:r>
          </w:p>
        </w:tc>
        <w:tc>
          <w:tcPr>
            <w:tcW w:type="dxa" w:w="5083"/>
            <w:tcMar>
              <w:top w:w="100" w:type="dxa"/>
              <w:start w:w="100" w:type="dxa"/>
              <w:bottom w:w="100" w:type="dxa"/>
              <w:end w:w="100" w:type="dxa"/>
            </w:tcMar>
            <w:vAlign w:val="center"/>
          </w:tcPr>
          <w:p>
            <w:r>
              <w:t>BPV-calibrated global breadth +1.370 log2, q=6.42 x 10^-5; IgG-subclass breadth +1.965, q=2.08 x 10^-4; mean Fc-receptor breadth +2.617, q=8.07 x 10^-4; number of cross-reactive HPV types above twofold increased by 3, q=0.001.</w:t>
            </w:r>
          </w:p>
        </w:tc>
      </w:tr>
      <w:tr>
        <w:trPr>
          <w:cantSplit/>
        </w:trPr>
        <w:tc>
          <w:tcPr>
            <w:tcW w:type="dxa" w:w="5083"/>
            <w:tcMar>
              <w:top w:w="100" w:type="dxa"/>
              <w:start w:w="100" w:type="dxa"/>
              <w:bottom w:w="100" w:type="dxa"/>
              <w:end w:w="100" w:type="dxa"/>
            </w:tcMar>
            <w:vAlign w:val="center"/>
          </w:tcPr>
          <w:p>
            <w:r>
              <w:rPr>
                <w:b/>
              </w:rPr>
              <w:t>BPV sensitivity</w:t>
            </w:r>
          </w:p>
        </w:tc>
        <w:tc>
          <w:tcPr>
            <w:tcW w:type="dxa" w:w="5083"/>
            <w:tcMar>
              <w:top w:w="100" w:type="dxa"/>
              <w:start w:w="100" w:type="dxa"/>
              <w:bottom w:w="100" w:type="dxa"/>
              <w:end w:w="100" w:type="dxa"/>
            </w:tcMar>
            <w:vAlign w:val="center"/>
          </w:tcPr>
          <w:p>
            <w:r>
              <w:t>Across the broader calibration analysis: 140 effects supported after calibration, 60 attenuated, 2 newly apparent, 34 direction-changed.</w:t>
            </w:r>
          </w:p>
        </w:tc>
      </w:tr>
      <w:tr>
        <w:trPr>
          <w:cantSplit/>
        </w:trPr>
        <w:tc>
          <w:tcPr>
            <w:tcW w:type="dxa" w:w="5083"/>
            <w:tcMar>
              <w:top w:w="100" w:type="dxa"/>
              <w:start w:w="100" w:type="dxa"/>
              <w:bottom w:w="100" w:type="dxa"/>
              <w:end w:w="100" w:type="dxa"/>
            </w:tcMar>
            <w:vAlign w:val="center"/>
          </w:tcPr>
          <w:p>
            <w:r>
              <w:rPr>
                <w:b/>
              </w:rPr>
              <w:t>Previous-dose effects</w:t>
            </w:r>
          </w:p>
        </w:tc>
        <w:tc>
          <w:tcPr>
            <w:tcW w:type="dxa" w:w="5083"/>
            <w:tcMar>
              <w:top w:w="100" w:type="dxa"/>
              <w:start w:w="100" w:type="dxa"/>
              <w:bottom w:w="100" w:type="dxa"/>
              <w:end w:w="100" w:type="dxa"/>
            </w:tcMar>
            <w:vAlign w:val="center"/>
          </w:tcPr>
          <w:p>
            <w:r>
              <w:t>0/24 global dose tests, 0/72 pairwise dose contrasts, and 0/24 monotonic dose-trend tests were FDR-significant in calibrated breadth analyses.</w:t>
            </w:r>
          </w:p>
        </w:tc>
      </w:tr>
      <w:tr>
        <w:trPr>
          <w:cantSplit/>
        </w:trPr>
        <w:tc>
          <w:tcPr>
            <w:tcW w:type="dxa" w:w="5083"/>
            <w:tcMar>
              <w:top w:w="100" w:type="dxa"/>
              <w:start w:w="100" w:type="dxa"/>
              <w:bottom w:w="100" w:type="dxa"/>
              <w:end w:w="100" w:type="dxa"/>
            </w:tcMar>
            <w:vAlign w:val="center"/>
          </w:tcPr>
          <w:p>
            <w:r>
              <w:rPr>
                <w:b/>
              </w:rPr>
              <w:t>Functional coupling</w:t>
            </w:r>
          </w:p>
        </w:tc>
        <w:tc>
          <w:tcPr>
            <w:tcW w:type="dxa" w:w="5083"/>
            <w:tcMar>
              <w:top w:w="100" w:type="dxa"/>
              <w:start w:w="100" w:type="dxa"/>
              <w:bottom w:w="100" w:type="dxa"/>
              <w:end w:w="100" w:type="dxa"/>
            </w:tcMar>
            <w:vAlign w:val="center"/>
          </w:tcPr>
          <w:p>
            <w:r>
              <w:t>Recall HPV16 ADCP-neutralization partial Spearman rho=0.759, q=4.94 x 10^-12, n=60; HPV18 rho=0.523, q=2.57 x 10^-5, n=60.</w:t>
            </w:r>
          </w:p>
        </w:tc>
      </w:tr>
      <w:tr>
        <w:trPr>
          <w:cantSplit/>
        </w:trPr>
        <w:tc>
          <w:tcPr>
            <w:tcW w:type="dxa" w:w="5083"/>
            <w:tcMar>
              <w:top w:w="100" w:type="dxa"/>
              <w:start w:w="100" w:type="dxa"/>
              <w:bottom w:w="100" w:type="dxa"/>
              <w:end w:w="100" w:type="dxa"/>
            </w:tcMar>
            <w:vAlign w:val="center"/>
          </w:tcPr>
          <w:p>
            <w:r>
              <w:rPr>
                <w:b/>
              </w:rPr>
              <w:t>PCA axis 1</w:t>
            </w:r>
          </w:p>
        </w:tc>
        <w:tc>
          <w:tcPr>
            <w:tcW w:type="dxa" w:w="5083"/>
            <w:tcMar>
              <w:top w:w="100" w:type="dxa"/>
              <w:start w:w="100" w:type="dxa"/>
              <w:bottom w:w="100" w:type="dxa"/>
              <w:end w:w="100" w:type="dxa"/>
            </w:tcMar>
            <w:vAlign w:val="center"/>
          </w:tcPr>
          <w:p>
            <w:r>
              <w:t>Recall-minus-primary mean difference: raw +7.660, q=2.04 x 10^-8; calibrated +6.087, q=4.02 x 10^-8. Dominated by cross-reactive IgG-subclass/Fc-receptor features.</w:t>
            </w:r>
          </w:p>
        </w:tc>
      </w:tr>
      <w:tr>
        <w:trPr>
          <w:cantSplit/>
        </w:trPr>
        <w:tc>
          <w:tcPr>
            <w:tcW w:type="dxa" w:w="5083"/>
            <w:tcMar>
              <w:top w:w="100" w:type="dxa"/>
              <w:start w:w="100" w:type="dxa"/>
              <w:bottom w:w="100" w:type="dxa"/>
              <w:end w:w="100" w:type="dxa"/>
            </w:tcMar>
            <w:vAlign w:val="center"/>
          </w:tcPr>
          <w:p>
            <w:r>
              <w:rPr>
                <w:b/>
              </w:rPr>
              <w:t>PCA axis 2</w:t>
            </w:r>
          </w:p>
        </w:tc>
        <w:tc>
          <w:tcPr>
            <w:tcW w:type="dxa" w:w="5083"/>
            <w:tcMar>
              <w:top w:w="100" w:type="dxa"/>
              <w:start w:w="100" w:type="dxa"/>
              <w:bottom w:w="100" w:type="dxa"/>
              <w:end w:w="100" w:type="dxa"/>
            </w:tcMar>
            <w:vAlign w:val="center"/>
          </w:tcPr>
          <w:p>
            <w:r>
              <w:t>Recall-minus-primary mean difference: raw -2.913, q=5.91 x 10^-4; calibrated -3.419, q=2.83 x 10^-5. Dominated by HPV16/18 abundance, with neutralization/phagocytosis contributions in raw space.</w:t>
            </w:r>
          </w:p>
        </w:tc>
      </w:tr>
      <w:tr>
        <w:trPr>
          <w:cantSplit/>
        </w:trPr>
        <w:tc>
          <w:tcPr>
            <w:tcW w:type="dxa" w:w="5083"/>
            <w:tcMar>
              <w:top w:w="100" w:type="dxa"/>
              <w:start w:w="100" w:type="dxa"/>
              <w:bottom w:w="100" w:type="dxa"/>
              <w:end w:w="100" w:type="dxa"/>
            </w:tcMar>
            <w:vAlign w:val="center"/>
          </w:tcPr>
          <w:p>
            <w:r>
              <w:rPr>
                <w:b/>
              </w:rPr>
              <w:t>Clustering</w:t>
            </w:r>
          </w:p>
        </w:tc>
        <w:tc>
          <w:tcPr>
            <w:tcW w:type="dxa" w:w="5083"/>
            <w:tcMar>
              <w:top w:w="100" w:type="dxa"/>
              <w:start w:w="100" w:type="dxa"/>
              <w:bottom w:w="100" w:type="dxa"/>
              <w:end w:w="100" w:type="dxa"/>
            </w:tcMar>
            <w:vAlign w:val="center"/>
          </w:tcPr>
          <w:p>
            <w:r>
              <w:t>Raw k=2 was the only selected stable solution; silhouette 0.213; 77/80 (96.25%) participants aligned with primary-versus-recall context. Calibrated k=2 silhouette 0.169; no calibrated k=2–6 solution met all stability criteria.</w:t>
            </w:r>
          </w:p>
        </w:tc>
      </w:tr>
    </w:tbl>
    <w:p>
      <w:pPr>
        <w:pStyle w:val="Heading2"/>
      </w:pPr>
      <w:r>
        <w:t>Central conclusion</w:t>
      </w:r>
    </w:p>
    <w:p>
      <w:r>
        <w:rPr>
          <w:b/>
        </w:rPr>
        <w:t xml:space="preserve">HPV vaccine serology in this cohort is organized primarily as continuous, context-responsive immune states rather than stable responder classes. </w:t>
      </w:r>
      <w:r>
        <w:t>Quantitative breadth, functional coupling, and background-sensitive multivariate analysis provide complementary measures of durable and recalled vaccine immunity beyond antibody magnitude alone.</w:t>
      </w:r>
    </w:p>
    <w:p>
      <w:pPr>
        <w:pStyle w:val="Heading1"/>
      </w:pPr>
      <w:r>
        <w:t>5. Current Vaccine manuscript package and version history</w:t>
      </w:r>
    </w:p>
    <w:p>
      <w:pPr>
        <w:pStyle w:val="Heading2"/>
      </w:pPr>
      <w:r>
        <w:t>5.1 Current canonical title and article type</w:t>
      </w:r>
    </w:p>
    <w:p>
      <w:r>
        <w:rPr>
          <w:b/>
        </w:rPr>
        <w:t xml:space="preserve">Article type: </w:t>
      </w:r>
      <w:r>
        <w:t>Original Article</w:t>
      </w:r>
    </w:p>
    <w:p>
      <w:r>
        <w:rPr>
          <w:b/>
        </w:rPr>
        <w:t xml:space="preserve">Title: </w:t>
      </w:r>
      <w:r>
        <w:t>Systems serology reveals continuous immune-state organization of long-term and heterologous recall responses after human papillomavirus vaccination in Fiji</w:t>
      </w:r>
    </w:p>
    <w:p>
      <w:pPr>
        <w:pStyle w:val="Heading2"/>
      </w:pPr>
      <w:r>
        <w:t>5.2 Critical version trajectory</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E2F0D9"/>
            <w:tcMar>
              <w:top w:w="100" w:type="dxa"/>
              <w:start w:w="100" w:type="dxa"/>
              <w:bottom w:w="100" w:type="dxa"/>
              <w:end w:w="100" w:type="dxa"/>
            </w:tcMar>
          </w:tcPr>
          <w:p>
            <w:r>
              <w:rPr>
                <w:b/>
              </w:rPr>
              <w:t>Version</w:t>
            </w:r>
          </w:p>
        </w:tc>
        <w:tc>
          <w:tcPr>
            <w:tcW w:type="dxa" w:w="5083"/>
            <w:shd w:fill="E2F0D9"/>
            <w:tcMar>
              <w:top w:w="100" w:type="dxa"/>
              <w:start w:w="100" w:type="dxa"/>
              <w:bottom w:w="100" w:type="dxa"/>
              <w:end w:w="100" w:type="dxa"/>
            </w:tcMar>
          </w:tcPr>
          <w:p>
            <w:r>
              <w:rPr>
                <w:b/>
              </w:rPr>
              <w:t>Meaning</w:t>
            </w:r>
          </w:p>
        </w:tc>
      </w:tr>
      <w:tr>
        <w:trPr>
          <w:cantSplit/>
        </w:trPr>
        <w:tc>
          <w:tcPr>
            <w:tcW w:type="dxa" w:w="5083"/>
            <w:tcMar>
              <w:top w:w="100" w:type="dxa"/>
              <w:start w:w="100" w:type="dxa"/>
              <w:bottom w:w="100" w:type="dxa"/>
              <w:end w:w="100" w:type="dxa"/>
            </w:tcMar>
          </w:tcPr>
          <w:p>
            <w:r>
              <w:rPr>
                <w:b/>
              </w:rPr>
              <w:t>JID v4.1</w:t>
            </w:r>
          </w:p>
        </w:tc>
        <w:tc>
          <w:tcPr>
            <w:tcW w:type="dxa" w:w="5083"/>
            <w:tcMar>
              <w:top w:w="100" w:type="dxa"/>
              <w:start w:w="100" w:type="dxa"/>
              <w:bottom w:w="100" w:type="dxa"/>
              <w:end w:w="100" w:type="dxa"/>
            </w:tcMar>
          </w:tcPr>
          <w:p>
            <w:r>
              <w:t>Final consolidated JID submission version before retargeting; included seven alt-text entries and static/direct Zenodo DOI handling.</w:t>
            </w:r>
          </w:p>
        </w:tc>
      </w:tr>
      <w:tr>
        <w:trPr>
          <w:cantSplit/>
        </w:trPr>
        <w:tc>
          <w:tcPr>
            <w:tcW w:type="dxa" w:w="5083"/>
            <w:tcMar>
              <w:top w:w="100" w:type="dxa"/>
              <w:start w:w="100" w:type="dxa"/>
              <w:bottom w:w="100" w:type="dxa"/>
              <w:end w:w="100" w:type="dxa"/>
            </w:tcMar>
          </w:tcPr>
          <w:p>
            <w:r>
              <w:rPr>
                <w:b/>
              </w:rPr>
              <w:t>Vaccine v5</w:t>
            </w:r>
          </w:p>
        </w:tc>
        <w:tc>
          <w:tcPr>
            <w:tcW w:type="dxa" w:w="5083"/>
            <w:tcMar>
              <w:top w:w="100" w:type="dxa"/>
              <w:start w:w="100" w:type="dxa"/>
              <w:bottom w:w="100" w:type="dxa"/>
              <w:end w:w="100" w:type="dxa"/>
            </w:tcMar>
          </w:tcPr>
          <w:p>
            <w:r>
              <w:t>Manual journal-specific revision using Vaccine author guidance and two recent Vaccine papers as style examples.</w:t>
            </w:r>
          </w:p>
        </w:tc>
      </w:tr>
      <w:tr>
        <w:trPr>
          <w:cantSplit/>
        </w:trPr>
        <w:tc>
          <w:tcPr>
            <w:tcW w:type="dxa" w:w="5083"/>
            <w:tcMar>
              <w:top w:w="100" w:type="dxa"/>
              <w:start w:w="100" w:type="dxa"/>
              <w:bottom w:w="100" w:type="dxa"/>
              <w:end w:w="100" w:type="dxa"/>
            </w:tcMar>
          </w:tcPr>
          <w:p>
            <w:r>
              <w:rPr>
                <w:b/>
              </w:rPr>
              <w:t>Vaccine v5.1</w:t>
            </w:r>
          </w:p>
        </w:tc>
        <w:tc>
          <w:tcPr>
            <w:tcW w:type="dxa" w:w="5083"/>
            <w:tcMar>
              <w:top w:w="100" w:type="dxa"/>
              <w:start w:w="100" w:type="dxa"/>
              <w:bottom w:w="100" w:type="dxa"/>
              <w:end w:w="100" w:type="dxa"/>
            </w:tcMar>
          </w:tcPr>
          <w:p>
            <w:r>
              <w:t>Current canonical manuscript and cover letter after adopting the improved title. This is the source of truth for scientific text unless a later verified local revision supersedes it.</w:t>
            </w:r>
          </w:p>
        </w:tc>
      </w:tr>
    </w:tbl>
    <w:p>
      <w:pPr>
        <w:pStyle w:val="Heading2"/>
      </w:pPr>
      <w:r>
        <w:t>5.3 Canonical DOCX hashes</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D9EAF7"/>
            <w:tcMar>
              <w:top w:w="100" w:type="dxa"/>
              <w:start w:w="100" w:type="dxa"/>
              <w:bottom w:w="100" w:type="dxa"/>
              <w:end w:w="100" w:type="dxa"/>
            </w:tcMar>
          </w:tcPr>
          <w:p>
            <w:r>
              <w:rPr>
                <w:b/>
              </w:rPr>
              <w:t>File</w:t>
            </w:r>
          </w:p>
        </w:tc>
        <w:tc>
          <w:tcPr>
            <w:tcW w:type="dxa" w:w="5083"/>
            <w:shd w:fill="D9EAF7"/>
            <w:tcMar>
              <w:top w:w="100" w:type="dxa"/>
              <w:start w:w="100" w:type="dxa"/>
              <w:bottom w:w="100" w:type="dxa"/>
              <w:end w:w="100" w:type="dxa"/>
            </w:tcMar>
          </w:tcPr>
          <w:p>
            <w:r>
              <w:rPr>
                <w:b/>
              </w:rPr>
              <w:t>SHA-256</w:t>
            </w:r>
          </w:p>
        </w:tc>
      </w:tr>
      <w:tr>
        <w:trPr>
          <w:cantSplit/>
        </w:trPr>
        <w:tc>
          <w:tcPr>
            <w:tcW w:type="dxa" w:w="5083"/>
            <w:tcMar>
              <w:top w:w="100" w:type="dxa"/>
              <w:start w:w="100" w:type="dxa"/>
              <w:bottom w:w="100" w:type="dxa"/>
              <w:end w:w="100" w:type="dxa"/>
            </w:tcMar>
          </w:tcPr>
          <w:p>
            <w:r>
              <w:t>Fiji_HPV_systems_serology_Vaccine_Original_Article_v5_1.docx</w:t>
            </w:r>
          </w:p>
        </w:tc>
        <w:tc>
          <w:tcPr>
            <w:tcW w:type="dxa" w:w="5083"/>
            <w:tcMar>
              <w:top w:w="100" w:type="dxa"/>
              <w:start w:w="100" w:type="dxa"/>
              <w:bottom w:w="100" w:type="dxa"/>
              <w:end w:w="100" w:type="dxa"/>
            </w:tcMar>
          </w:tcPr>
          <w:p>
            <w:pPr>
              <w:pStyle w:val="CodeSmall"/>
            </w:pPr>
            <w:r>
              <w:t>3e40cb58de0c5d4c4af8c26282152ee73d101fa6a46b7a22c7a588e24546cba2</w:t>
            </w:r>
          </w:p>
        </w:tc>
      </w:tr>
      <w:tr>
        <w:trPr>
          <w:cantSplit/>
        </w:trPr>
        <w:tc>
          <w:tcPr>
            <w:tcW w:type="dxa" w:w="5083"/>
            <w:tcMar>
              <w:top w:w="100" w:type="dxa"/>
              <w:start w:w="100" w:type="dxa"/>
              <w:bottom w:w="100" w:type="dxa"/>
              <w:end w:w="100" w:type="dxa"/>
            </w:tcMar>
          </w:tcPr>
          <w:p>
            <w:r>
              <w:t>Vaccine_Cover_Letter_Fiji_HPV_systems_serology_v5_1.docx</w:t>
            </w:r>
          </w:p>
        </w:tc>
        <w:tc>
          <w:tcPr>
            <w:tcW w:type="dxa" w:w="5083"/>
            <w:tcMar>
              <w:top w:w="100" w:type="dxa"/>
              <w:start w:w="100" w:type="dxa"/>
              <w:bottom w:w="100" w:type="dxa"/>
              <w:end w:w="100" w:type="dxa"/>
            </w:tcMar>
          </w:tcPr>
          <w:p>
            <w:pPr>
              <w:pStyle w:val="CodeSmall"/>
            </w:pPr>
            <w:r>
              <w:t>815e9e3b805a2d519a205ba20b45209f4f9831feaf5bc1bdbc108cfb90e7c185</w:t>
            </w:r>
          </w:p>
        </w:tc>
      </w:tr>
      <w:tr>
        <w:trPr>
          <w:cantSplit/>
        </w:trPr>
        <w:tc>
          <w:tcPr>
            <w:tcW w:type="dxa" w:w="5083"/>
            <w:tcMar>
              <w:top w:w="100" w:type="dxa"/>
              <w:start w:w="100" w:type="dxa"/>
              <w:bottom w:w="100" w:type="dxa"/>
              <w:end w:w="100" w:type="dxa"/>
            </w:tcMar>
          </w:tcPr>
          <w:p>
            <w:r>
              <w:t>Vaccine_Highlights_Fiji_HPV_systems_serology_v5_1.docx</w:t>
            </w:r>
          </w:p>
        </w:tc>
        <w:tc>
          <w:tcPr>
            <w:tcW w:type="dxa" w:w="5083"/>
            <w:tcMar>
              <w:top w:w="100" w:type="dxa"/>
              <w:start w:w="100" w:type="dxa"/>
              <w:bottom w:w="100" w:type="dxa"/>
              <w:end w:w="100" w:type="dxa"/>
            </w:tcMar>
          </w:tcPr>
          <w:p>
            <w:pPr>
              <w:pStyle w:val="CodeSmall"/>
            </w:pPr>
            <w:r>
              <w:t>20e367302573ea47b71eb16f8cf2dd7b6d1db3cea8bd394aa64cbda5619294d0</w:t>
            </w:r>
          </w:p>
        </w:tc>
      </w:tr>
      <w:tr>
        <w:trPr>
          <w:cantSplit/>
        </w:trPr>
        <w:tc>
          <w:tcPr>
            <w:tcW w:type="dxa" w:w="5083"/>
            <w:tcMar>
              <w:top w:w="100" w:type="dxa"/>
              <w:start w:w="100" w:type="dxa"/>
              <w:bottom w:w="100" w:type="dxa"/>
              <w:end w:w="100" w:type="dxa"/>
            </w:tcMar>
          </w:tcPr>
          <w:p>
            <w:r>
              <w:t>Vaccine_Table_1_Fiji_HPV_systems_serology_v5_1.docx</w:t>
            </w:r>
          </w:p>
        </w:tc>
        <w:tc>
          <w:tcPr>
            <w:tcW w:type="dxa" w:w="5083"/>
            <w:tcMar>
              <w:top w:w="100" w:type="dxa"/>
              <w:start w:w="100" w:type="dxa"/>
              <w:bottom w:w="100" w:type="dxa"/>
              <w:end w:w="100" w:type="dxa"/>
            </w:tcMar>
          </w:tcPr>
          <w:p>
            <w:pPr>
              <w:pStyle w:val="CodeSmall"/>
            </w:pPr>
            <w:r>
              <w:t>c472c93b4b6b3e65e14d764577286461e0ee9aa63bbeae666fcb4b734f7bae43</w:t>
            </w:r>
          </w:p>
        </w:tc>
      </w:tr>
      <w:tr>
        <w:trPr>
          <w:cantSplit/>
        </w:trPr>
        <w:tc>
          <w:tcPr>
            <w:tcW w:type="dxa" w:w="5083"/>
            <w:tcMar>
              <w:top w:w="100" w:type="dxa"/>
              <w:start w:w="100" w:type="dxa"/>
              <w:bottom w:w="100" w:type="dxa"/>
              <w:end w:w="100" w:type="dxa"/>
            </w:tcMar>
          </w:tcPr>
          <w:p>
            <w:r>
              <w:t>Vaccine_Abstract_v5_1.docx</w:t>
            </w:r>
          </w:p>
        </w:tc>
        <w:tc>
          <w:tcPr>
            <w:tcW w:type="dxa" w:w="5083"/>
            <w:tcMar>
              <w:top w:w="100" w:type="dxa"/>
              <w:start w:w="100" w:type="dxa"/>
              <w:bottom w:w="100" w:type="dxa"/>
              <w:end w:w="100" w:type="dxa"/>
            </w:tcMar>
          </w:tcPr>
          <w:p>
            <w:pPr>
              <w:pStyle w:val="CodeSmall"/>
            </w:pPr>
            <w:r>
              <w:t>487fdbb988f8326785dfd2fcaeddafdd2cacc8e1443c7bff64a57274fe1f9773</w:t>
            </w:r>
          </w:p>
        </w:tc>
      </w:tr>
      <w:tr>
        <w:trPr>
          <w:cantSplit/>
        </w:trPr>
        <w:tc>
          <w:tcPr>
            <w:tcW w:type="dxa" w:w="5083"/>
            <w:tcMar>
              <w:top w:w="100" w:type="dxa"/>
              <w:start w:w="100" w:type="dxa"/>
              <w:bottom w:w="100" w:type="dxa"/>
              <w:end w:w="100" w:type="dxa"/>
            </w:tcMar>
          </w:tcPr>
          <w:p>
            <w:r>
              <w:t>Vaccine_Title_Page_Clean_v5_1.docx</w:t>
            </w:r>
          </w:p>
        </w:tc>
        <w:tc>
          <w:tcPr>
            <w:tcW w:type="dxa" w:w="5083"/>
            <w:tcMar>
              <w:top w:w="100" w:type="dxa"/>
              <w:start w:w="100" w:type="dxa"/>
              <w:bottom w:w="100" w:type="dxa"/>
              <w:end w:w="100" w:type="dxa"/>
            </w:tcMar>
          </w:tcPr>
          <w:p>
            <w:pPr>
              <w:pStyle w:val="CodeSmall"/>
            </w:pPr>
            <w:r>
              <w:t>af2063d5b84ec45db2469bc4a66012392fcdb7647fdc29b30ceedb15c7447d97</w:t>
            </w:r>
          </w:p>
        </w:tc>
      </w:tr>
    </w:tbl>
    <w:tbl>
      <w:tblPr>
        <w:tblW w:type="auto" w:w="0"/>
        <w:jc w:val="center"/>
        <w:tblLook w:firstColumn="1" w:firstRow="1" w:lastColumn="0" w:lastRow="0" w:noHBand="0" w:noVBand="1" w:val="04A0"/>
      </w:tblPr>
      <w:tblGrid>
        <w:gridCol w:w="10166"/>
      </w:tblGrid>
      <w:tr>
        <w:trPr>
          <w:cantSplit/>
        </w:trPr>
        <w:tc>
          <w:tcPr>
            <w:tcW w:type="dxa" w:w="10166"/>
            <w:shd w:fill="F4CCCC"/>
            <w:tcMar>
              <w:top w:w="140" w:type="dxa"/>
              <w:start w:w="160" w:type="dxa"/>
              <w:bottom w:w="140" w:type="dxa"/>
              <w:end w:w="160" w:type="dxa"/>
            </w:tcMar>
          </w:tcPr>
          <w:p>
            <w:r>
              <w:rPr>
                <w:b/>
                <w:color w:val="1F4E79"/>
                <w:sz w:val="22"/>
              </w:rPr>
              <w:t>Last observed staging discrepancy — must be checked before final submission</w:t>
              <w:br/>
            </w:r>
            <w:r>
              <w:rPr>
                <w:sz w:val="21"/>
              </w:rPr>
              <w:t>In the most recent WSL listing, UPLOAD_READY contained 16 files. Staged Manuscript.docx was 46,220 bytes and Cover_Letter.docx was 133,047 bytes, whereas the earlier canonical package copies were 52,124 bytes and 130,048 bytes. The Abstract and Title Page hashes matched their canonical values. The changed manuscript/cover-letter identities were not resolved in chat. A future continuation should compare hashes and content before replacing or certifying the typesetting file.</w:t>
            </w:r>
          </w:p>
        </w:tc>
      </w:tr>
    </w:tbl>
    <w:p>
      <w:pPr>
        <w:spacing w:after="20"/>
      </w:pPr>
    </w:p>
    <w:p>
      <w:pPr>
        <w:pStyle w:val="Heading1"/>
      </w:pPr>
      <w:r>
        <w:t>6. Publication figures and supplementary material</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E2F0D9"/>
            <w:tcMar>
              <w:top w:w="100" w:type="dxa"/>
              <w:start w:w="100" w:type="dxa"/>
              <w:bottom w:w="100" w:type="dxa"/>
              <w:end w:w="100" w:type="dxa"/>
            </w:tcMar>
          </w:tcPr>
          <w:p>
            <w:r>
              <w:rPr>
                <w:b/>
              </w:rPr>
              <w:t>Asset</w:t>
            </w:r>
          </w:p>
        </w:tc>
        <w:tc>
          <w:tcPr>
            <w:tcW w:type="dxa" w:w="3389"/>
            <w:shd w:fill="E2F0D9"/>
            <w:tcMar>
              <w:top w:w="100" w:type="dxa"/>
              <w:start w:w="100" w:type="dxa"/>
              <w:bottom w:w="100" w:type="dxa"/>
              <w:end w:w="100" w:type="dxa"/>
            </w:tcMar>
          </w:tcPr>
          <w:p>
            <w:r>
              <w:rPr>
                <w:b/>
              </w:rPr>
              <w:t>Role</w:t>
            </w:r>
          </w:p>
        </w:tc>
        <w:tc>
          <w:tcPr>
            <w:tcW w:type="dxa" w:w="3389"/>
            <w:shd w:fill="E2F0D9"/>
            <w:tcMar>
              <w:top w:w="100" w:type="dxa"/>
              <w:start w:w="100" w:type="dxa"/>
              <w:bottom w:w="100" w:type="dxa"/>
              <w:end w:w="100" w:type="dxa"/>
            </w:tcMar>
          </w:tcPr>
          <w:p>
            <w:r>
              <w:rPr>
                <w:b/>
              </w:rPr>
              <w:t>SHA-256</w:t>
            </w:r>
          </w:p>
        </w:tc>
      </w:tr>
      <w:tr>
        <w:trPr>
          <w:cantSplit/>
        </w:trPr>
        <w:tc>
          <w:tcPr>
            <w:tcW w:type="dxa" w:w="3389"/>
            <w:tcMar>
              <w:top w:w="100" w:type="dxa"/>
              <w:start w:w="100" w:type="dxa"/>
              <w:bottom w:w="100" w:type="dxa"/>
              <w:end w:w="100" w:type="dxa"/>
            </w:tcMar>
            <w:vAlign w:val="center"/>
          </w:tcPr>
          <w:p>
            <w:r>
              <w:t>Figure 1</w:t>
            </w:r>
          </w:p>
        </w:tc>
        <w:tc>
          <w:tcPr>
            <w:tcW w:type="dxa" w:w="3389"/>
            <w:tcMar>
              <w:top w:w="100" w:type="dxa"/>
              <w:start w:w="100" w:type="dxa"/>
              <w:bottom w:w="100" w:type="dxa"/>
              <w:end w:w="100" w:type="dxa"/>
            </w:tcMar>
            <w:vAlign w:val="center"/>
          </w:tcPr>
          <w:p>
            <w:r>
              <w:t>Study design and systems-serology feature architecture</w:t>
            </w:r>
          </w:p>
        </w:tc>
        <w:tc>
          <w:tcPr>
            <w:tcW w:type="dxa" w:w="3389"/>
            <w:tcMar>
              <w:top w:w="100" w:type="dxa"/>
              <w:start w:w="100" w:type="dxa"/>
              <w:bottom w:w="100" w:type="dxa"/>
              <w:end w:w="100" w:type="dxa"/>
            </w:tcMar>
            <w:vAlign w:val="center"/>
          </w:tcPr>
          <w:p>
            <w:pPr>
              <w:pStyle w:val="CodeSmall"/>
            </w:pPr>
            <w:r>
              <w:t>a72fa9fdeaa32508941a34a1ed9d2bebf5c0c1326189fd71894fce71d338a8ca</w:t>
            </w:r>
          </w:p>
        </w:tc>
      </w:tr>
      <w:tr>
        <w:trPr>
          <w:cantSplit/>
        </w:trPr>
        <w:tc>
          <w:tcPr>
            <w:tcW w:type="dxa" w:w="3389"/>
            <w:tcMar>
              <w:top w:w="100" w:type="dxa"/>
              <w:start w:w="100" w:type="dxa"/>
              <w:bottom w:w="100" w:type="dxa"/>
              <w:end w:w="100" w:type="dxa"/>
            </w:tcMar>
            <w:vAlign w:val="center"/>
          </w:tcPr>
          <w:p>
            <w:r>
              <w:t>Figure 2</w:t>
            </w:r>
          </w:p>
        </w:tc>
        <w:tc>
          <w:tcPr>
            <w:tcW w:type="dxa" w:w="3389"/>
            <w:tcMar>
              <w:top w:w="100" w:type="dxa"/>
              <w:start w:w="100" w:type="dxa"/>
              <w:bottom w:w="100" w:type="dxa"/>
              <w:end w:w="100" w:type="dxa"/>
            </w:tcMar>
            <w:vAlign w:val="center"/>
          </w:tcPr>
          <w:p>
            <w:r>
              <w:t>Primary induction and long-term persistence</w:t>
            </w:r>
          </w:p>
        </w:tc>
        <w:tc>
          <w:tcPr>
            <w:tcW w:type="dxa" w:w="3389"/>
            <w:tcMar>
              <w:top w:w="100" w:type="dxa"/>
              <w:start w:w="100" w:type="dxa"/>
              <w:bottom w:w="100" w:type="dxa"/>
              <w:end w:w="100" w:type="dxa"/>
            </w:tcMar>
            <w:vAlign w:val="center"/>
          </w:tcPr>
          <w:p>
            <w:pPr>
              <w:pStyle w:val="CodeSmall"/>
            </w:pPr>
            <w:r>
              <w:t>8a9a8cc8eb80cfe8e015856ced87db5f9cfc600d581b20516cb6ecfb6bd9299d</w:t>
            </w:r>
          </w:p>
        </w:tc>
      </w:tr>
      <w:tr>
        <w:trPr>
          <w:cantSplit/>
        </w:trPr>
        <w:tc>
          <w:tcPr>
            <w:tcW w:type="dxa" w:w="3389"/>
            <w:tcMar>
              <w:top w:w="100" w:type="dxa"/>
              <w:start w:w="100" w:type="dxa"/>
              <w:bottom w:w="100" w:type="dxa"/>
              <w:end w:w="100" w:type="dxa"/>
            </w:tcMar>
            <w:vAlign w:val="center"/>
          </w:tcPr>
          <w:p>
            <w:r>
              <w:t>Figure 3</w:t>
            </w:r>
          </w:p>
        </w:tc>
        <w:tc>
          <w:tcPr>
            <w:tcW w:type="dxa" w:w="3389"/>
            <w:tcMar>
              <w:top w:w="100" w:type="dxa"/>
              <w:start w:w="100" w:type="dxa"/>
              <w:bottom w:w="100" w:type="dxa"/>
              <w:end w:w="100" w:type="dxa"/>
            </w:tcMar>
            <w:vAlign w:val="center"/>
          </w:tcPr>
          <w:p>
            <w:r>
              <w:t>Heterologous recall and cross-reactive Fc-functional breadth</w:t>
            </w:r>
          </w:p>
        </w:tc>
        <w:tc>
          <w:tcPr>
            <w:tcW w:type="dxa" w:w="3389"/>
            <w:tcMar>
              <w:top w:w="100" w:type="dxa"/>
              <w:start w:w="100" w:type="dxa"/>
              <w:bottom w:w="100" w:type="dxa"/>
              <w:end w:w="100" w:type="dxa"/>
            </w:tcMar>
            <w:vAlign w:val="center"/>
          </w:tcPr>
          <w:p>
            <w:pPr>
              <w:pStyle w:val="CodeSmall"/>
            </w:pPr>
            <w:r>
              <w:t>07be8d5f7503af1444961cbf57339c629560d3a4f4f16e535b43a201d9f8b303</w:t>
            </w:r>
          </w:p>
        </w:tc>
      </w:tr>
      <w:tr>
        <w:trPr>
          <w:cantSplit/>
        </w:trPr>
        <w:tc>
          <w:tcPr>
            <w:tcW w:type="dxa" w:w="3389"/>
            <w:tcMar>
              <w:top w:w="100" w:type="dxa"/>
              <w:start w:w="100" w:type="dxa"/>
              <w:bottom w:w="100" w:type="dxa"/>
              <w:end w:w="100" w:type="dxa"/>
            </w:tcMar>
            <w:vAlign w:val="center"/>
          </w:tcPr>
          <w:p>
            <w:r>
              <w:t>Figure 4</w:t>
            </w:r>
          </w:p>
        </w:tc>
        <w:tc>
          <w:tcPr>
            <w:tcW w:type="dxa" w:w="3389"/>
            <w:tcMar>
              <w:top w:w="100" w:type="dxa"/>
              <w:start w:w="100" w:type="dxa"/>
              <w:bottom w:w="100" w:type="dxa"/>
              <w:end w:w="100" w:type="dxa"/>
            </w:tcMar>
            <w:vAlign w:val="center"/>
          </w:tcPr>
          <w:p>
            <w:r>
              <w:t>Previous-dose history, model robustness, and ADCP-neutralization coupling</w:t>
            </w:r>
          </w:p>
        </w:tc>
        <w:tc>
          <w:tcPr>
            <w:tcW w:type="dxa" w:w="3389"/>
            <w:tcMar>
              <w:top w:w="100" w:type="dxa"/>
              <w:start w:w="100" w:type="dxa"/>
              <w:bottom w:w="100" w:type="dxa"/>
              <w:end w:w="100" w:type="dxa"/>
            </w:tcMar>
            <w:vAlign w:val="center"/>
          </w:tcPr>
          <w:p>
            <w:pPr>
              <w:pStyle w:val="CodeSmall"/>
            </w:pPr>
            <w:r>
              <w:t>bcf2acb1f0e7a2c7ae94af3408324abded5af0789addcb10c5aaa382d81a932b</w:t>
            </w:r>
          </w:p>
        </w:tc>
      </w:tr>
      <w:tr>
        <w:trPr>
          <w:cantSplit/>
        </w:trPr>
        <w:tc>
          <w:tcPr>
            <w:tcW w:type="dxa" w:w="3389"/>
            <w:tcMar>
              <w:top w:w="100" w:type="dxa"/>
              <w:start w:w="100" w:type="dxa"/>
              <w:bottom w:w="100" w:type="dxa"/>
              <w:end w:w="100" w:type="dxa"/>
            </w:tcMar>
            <w:vAlign w:val="center"/>
          </w:tcPr>
          <w:p>
            <w:r>
              <w:t>Figure 5</w:t>
            </w:r>
          </w:p>
        </w:tc>
        <w:tc>
          <w:tcPr>
            <w:tcW w:type="dxa" w:w="3389"/>
            <w:tcMar>
              <w:top w:w="100" w:type="dxa"/>
              <w:start w:w="100" w:type="dxa"/>
              <w:bottom w:w="100" w:type="dxa"/>
              <w:end w:w="100" w:type="dxa"/>
            </w:tcMar>
            <w:vAlign w:val="center"/>
          </w:tcPr>
          <w:p>
            <w:r>
              <w:t>Reproducible continuous multivariate axes of HPV vaccine serology</w:t>
            </w:r>
          </w:p>
        </w:tc>
        <w:tc>
          <w:tcPr>
            <w:tcW w:type="dxa" w:w="3389"/>
            <w:tcMar>
              <w:top w:w="100" w:type="dxa"/>
              <w:start w:w="100" w:type="dxa"/>
              <w:bottom w:w="100" w:type="dxa"/>
              <w:end w:w="100" w:type="dxa"/>
            </w:tcMar>
            <w:vAlign w:val="center"/>
          </w:tcPr>
          <w:p>
            <w:pPr>
              <w:pStyle w:val="CodeSmall"/>
            </w:pPr>
            <w:r>
              <w:t>44053acaed8d7b99ada2df8d84a703180a870699fdce571b899641a53f170457</w:t>
            </w:r>
          </w:p>
        </w:tc>
      </w:tr>
      <w:tr>
        <w:trPr>
          <w:cantSplit/>
        </w:trPr>
        <w:tc>
          <w:tcPr>
            <w:tcW w:type="dxa" w:w="3389"/>
            <w:tcMar>
              <w:top w:w="100" w:type="dxa"/>
              <w:start w:w="100" w:type="dxa"/>
              <w:bottom w:w="100" w:type="dxa"/>
              <w:end w:w="100" w:type="dxa"/>
            </w:tcMar>
            <w:vAlign w:val="center"/>
          </w:tcPr>
          <w:p>
            <w:r>
              <w:t>Figure 6</w:t>
            </w:r>
          </w:p>
        </w:tc>
        <w:tc>
          <w:tcPr>
            <w:tcW w:type="dxa" w:w="3389"/>
            <w:tcMar>
              <w:top w:w="100" w:type="dxa"/>
              <w:start w:w="100" w:type="dxa"/>
              <w:bottom w:w="100" w:type="dxa"/>
              <w:end w:w="100" w:type="dxa"/>
            </w:tcMar>
            <w:vAlign w:val="center"/>
          </w:tcPr>
          <w:p>
            <w:r>
              <w:t>Context-dominated clustering favors continuous immune-state structure</w:t>
            </w:r>
          </w:p>
        </w:tc>
        <w:tc>
          <w:tcPr>
            <w:tcW w:type="dxa" w:w="3389"/>
            <w:tcMar>
              <w:top w:w="100" w:type="dxa"/>
              <w:start w:w="100" w:type="dxa"/>
              <w:bottom w:w="100" w:type="dxa"/>
              <w:end w:w="100" w:type="dxa"/>
            </w:tcMar>
            <w:vAlign w:val="center"/>
          </w:tcPr>
          <w:p>
            <w:pPr>
              <w:pStyle w:val="CodeSmall"/>
            </w:pPr>
            <w:r>
              <w:t>df3864b3d7ad340244a731b18f3f03d524f7a921f31d9d12e0c17065da08e243</w:t>
            </w:r>
          </w:p>
        </w:tc>
      </w:tr>
      <w:tr>
        <w:trPr>
          <w:cantSplit/>
        </w:trPr>
        <w:tc>
          <w:tcPr>
            <w:tcW w:type="dxa" w:w="3389"/>
            <w:tcMar>
              <w:top w:w="100" w:type="dxa"/>
              <w:start w:w="100" w:type="dxa"/>
              <w:bottom w:w="100" w:type="dxa"/>
              <w:end w:w="100" w:type="dxa"/>
            </w:tcMar>
            <w:vAlign w:val="center"/>
          </w:tcPr>
          <w:p>
            <w:r>
              <w:t>Supplementary Figure S1</w:t>
            </w:r>
          </w:p>
        </w:tc>
        <w:tc>
          <w:tcPr>
            <w:tcW w:type="dxa" w:w="3389"/>
            <w:tcMar>
              <w:top w:w="100" w:type="dxa"/>
              <w:start w:w="100" w:type="dxa"/>
              <w:bottom w:w="100" w:type="dxa"/>
              <w:end w:w="100" w:type="dxa"/>
            </w:tcMar>
            <w:vAlign w:val="center"/>
          </w:tcPr>
          <w:p>
            <w:r>
              <w:t>Loading architecture and feature-family stability of the principal-component model</w:t>
            </w:r>
          </w:p>
        </w:tc>
        <w:tc>
          <w:tcPr>
            <w:tcW w:type="dxa" w:w="3389"/>
            <w:tcMar>
              <w:top w:w="100" w:type="dxa"/>
              <w:start w:w="100" w:type="dxa"/>
              <w:bottom w:w="100" w:type="dxa"/>
              <w:end w:w="100" w:type="dxa"/>
            </w:tcMar>
            <w:vAlign w:val="center"/>
          </w:tcPr>
          <w:p>
            <w:pPr>
              <w:pStyle w:val="CodeSmall"/>
            </w:pPr>
            <w:r>
              <w:t>c09887c6ada7f92913d45741aade461afe7745c8f4ea81f9e91a4eb27733dda4</w:t>
            </w:r>
          </w:p>
        </w:tc>
      </w:tr>
    </w:tbl>
    <w:p>
      <w:pPr>
        <w:pStyle w:val="ListBullet"/>
        <w:spacing w:after="40"/>
      </w:pPr>
      <w:r>
        <w:t>Do not redesign or reopen Figures 1–6 or S1 unless a specific journal requirement or reviewer request makes it necessary.</w:t>
      </w:r>
    </w:p>
    <w:p>
      <w:pPr>
        <w:pStyle w:val="ListBullet"/>
        <w:spacing w:after="40"/>
      </w:pPr>
      <w:r>
        <w:t>The graphical abstract is optional for Vaccine. A user-created file named Fiji_abstract.jpeg appeared in the latest upload folder; it was not generated or visually validated by ChatGPT and should be inspected manually before upload.</w:t>
      </w:r>
    </w:p>
    <w:p>
      <w:pPr>
        <w:pStyle w:val="ListBullet"/>
        <w:spacing w:after="40"/>
      </w:pPr>
      <w:r>
        <w:t>Current supplementary material is exactly one figure: Supplementary Figure S1. If the submission system asks whether supplementary material exists, answer Yes.</w:t>
      </w:r>
    </w:p>
    <w:p>
      <w:pPr>
        <w:pStyle w:val="Heading1"/>
      </w:pPr>
      <w:r>
        <w:t>7. Vaccine submission folder: latest observed state</w:t>
      </w:r>
    </w:p>
    <w:p>
      <w:r>
        <w:rPr>
          <w:b/>
        </w:rPr>
        <w:t xml:space="preserve">Windows: </w:t>
      </w:r>
      <w:r>
        <w:t>D:\HPV_Vaccine_Trafficome_Project_PRISTINE\11_manuscript\Vaccine_submission_2026-08-15</w:t>
      </w:r>
    </w:p>
    <w:p>
      <w:r>
        <w:rPr>
          <w:b/>
        </w:rPr>
        <w:t xml:space="preserve">WSL: </w:t>
      </w:r>
      <w:r>
        <w:t>/mnt/d/HPV_Vaccine_Trafficome_Project_PRISTINE/11_manuscript/Vaccine_submission_2026-08-15</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D9EAF7"/>
            <w:tcMar>
              <w:top w:w="100" w:type="dxa"/>
              <w:start w:w="100" w:type="dxa"/>
              <w:bottom w:w="100" w:type="dxa"/>
              <w:end w:w="100" w:type="dxa"/>
            </w:tcMar>
          </w:tcPr>
          <w:p>
            <w:r>
              <w:rPr>
                <w:b/>
              </w:rPr>
              <w:t>File</w:t>
            </w:r>
          </w:p>
        </w:tc>
        <w:tc>
          <w:tcPr>
            <w:tcW w:type="dxa" w:w="5083"/>
            <w:shd w:fill="D9EAF7"/>
            <w:tcMar>
              <w:top w:w="100" w:type="dxa"/>
              <w:start w:w="100" w:type="dxa"/>
              <w:bottom w:w="100" w:type="dxa"/>
              <w:end w:w="100" w:type="dxa"/>
            </w:tcMar>
          </w:tcPr>
          <w:p>
            <w:r>
              <w:rPr>
                <w:b/>
              </w:rPr>
              <w:t>Purpose / caution</w:t>
            </w:r>
          </w:p>
        </w:tc>
      </w:tr>
      <w:tr>
        <w:trPr>
          <w:cantSplit/>
        </w:trPr>
        <w:tc>
          <w:tcPr>
            <w:tcW w:type="dxa" w:w="5083"/>
            <w:tcMar>
              <w:top w:w="100" w:type="dxa"/>
              <w:start w:w="100" w:type="dxa"/>
              <w:bottom w:w="100" w:type="dxa"/>
              <w:end w:w="100" w:type="dxa"/>
            </w:tcMar>
          </w:tcPr>
          <w:p>
            <w:r>
              <w:rPr>
                <w:b/>
              </w:rPr>
              <w:t>Abstract.docx</w:t>
            </w:r>
          </w:p>
        </w:tc>
        <w:tc>
          <w:tcPr>
            <w:tcW w:type="dxa" w:w="5083"/>
            <w:tcMar>
              <w:top w:w="100" w:type="dxa"/>
              <w:start w:w="100" w:type="dxa"/>
              <w:bottom w:w="100" w:type="dxa"/>
              <w:end w:w="100" w:type="dxa"/>
            </w:tcMar>
          </w:tcPr>
          <w:p>
            <w:r>
              <w:t>Required separate Abstract upload; canonical hash verified.</w:t>
            </w:r>
          </w:p>
        </w:tc>
      </w:tr>
      <w:tr>
        <w:trPr>
          <w:cantSplit/>
        </w:trPr>
        <w:tc>
          <w:tcPr>
            <w:tcW w:type="dxa" w:w="5083"/>
            <w:tcMar>
              <w:top w:w="100" w:type="dxa"/>
              <w:start w:w="100" w:type="dxa"/>
              <w:bottom w:w="100" w:type="dxa"/>
              <w:end w:w="100" w:type="dxa"/>
            </w:tcMar>
          </w:tcPr>
          <w:p>
            <w:r>
              <w:rPr>
                <w:b/>
              </w:rPr>
              <w:t>Cover_Letter.docx</w:t>
            </w:r>
          </w:p>
        </w:tc>
        <w:tc>
          <w:tcPr>
            <w:tcW w:type="dxa" w:w="5083"/>
            <w:tcMar>
              <w:top w:w="100" w:type="dxa"/>
              <w:start w:w="100" w:type="dxa"/>
              <w:bottom w:w="100" w:type="dxa"/>
              <w:end w:w="100" w:type="dxa"/>
            </w:tcMar>
          </w:tcPr>
          <w:p>
            <w:r>
              <w:t>Cover letter; current staged identity should be checked against canonical v5.1.</w:t>
            </w:r>
          </w:p>
        </w:tc>
      </w:tr>
      <w:tr>
        <w:trPr>
          <w:cantSplit/>
        </w:trPr>
        <w:tc>
          <w:tcPr>
            <w:tcW w:type="dxa" w:w="5083"/>
            <w:tcMar>
              <w:top w:w="100" w:type="dxa"/>
              <w:start w:w="100" w:type="dxa"/>
              <w:bottom w:w="100" w:type="dxa"/>
              <w:end w:w="100" w:type="dxa"/>
            </w:tcMar>
          </w:tcPr>
          <w:p>
            <w:r>
              <w:rPr>
                <w:b/>
              </w:rPr>
              <w:t>Cover_Letter.pdf</w:t>
            </w:r>
          </w:p>
        </w:tc>
        <w:tc>
          <w:tcPr>
            <w:tcW w:type="dxa" w:w="5083"/>
            <w:tcMar>
              <w:top w:w="100" w:type="dxa"/>
              <w:start w:w="100" w:type="dxa"/>
              <w:bottom w:w="100" w:type="dxa"/>
              <w:end w:w="100" w:type="dxa"/>
            </w:tcMar>
          </w:tcPr>
          <w:p>
            <w:r>
              <w:t>Duplicate PDF; normally omit unless the portal explicitly requests PDF.</w:t>
            </w:r>
          </w:p>
        </w:tc>
      </w:tr>
      <w:tr>
        <w:trPr>
          <w:cantSplit/>
        </w:trPr>
        <w:tc>
          <w:tcPr>
            <w:tcW w:type="dxa" w:w="5083"/>
            <w:tcMar>
              <w:top w:w="100" w:type="dxa"/>
              <w:start w:w="100" w:type="dxa"/>
              <w:bottom w:w="100" w:type="dxa"/>
              <w:end w:w="100" w:type="dxa"/>
            </w:tcMar>
          </w:tcPr>
          <w:p>
            <w:r>
              <w:rPr>
                <w:b/>
              </w:rPr>
              <w:t>Figure_1.tiff</w:t>
            </w:r>
          </w:p>
        </w:tc>
        <w:tc>
          <w:tcPr>
            <w:tcW w:type="dxa" w:w="5083"/>
            <w:tcMar>
              <w:top w:w="100" w:type="dxa"/>
              <w:start w:w="100" w:type="dxa"/>
              <w:bottom w:w="100" w:type="dxa"/>
              <w:end w:w="100" w:type="dxa"/>
            </w:tcMar>
          </w:tcPr>
          <w:p>
            <w:r>
              <w:t>Final main figure 1; hash-locked.</w:t>
            </w:r>
          </w:p>
        </w:tc>
      </w:tr>
      <w:tr>
        <w:trPr>
          <w:cantSplit/>
        </w:trPr>
        <w:tc>
          <w:tcPr>
            <w:tcW w:type="dxa" w:w="5083"/>
            <w:tcMar>
              <w:top w:w="100" w:type="dxa"/>
              <w:start w:w="100" w:type="dxa"/>
              <w:bottom w:w="100" w:type="dxa"/>
              <w:end w:w="100" w:type="dxa"/>
            </w:tcMar>
          </w:tcPr>
          <w:p>
            <w:r>
              <w:rPr>
                <w:b/>
              </w:rPr>
              <w:t>Figure_2.tiff</w:t>
            </w:r>
          </w:p>
        </w:tc>
        <w:tc>
          <w:tcPr>
            <w:tcW w:type="dxa" w:w="5083"/>
            <w:tcMar>
              <w:top w:w="100" w:type="dxa"/>
              <w:start w:w="100" w:type="dxa"/>
              <w:bottom w:w="100" w:type="dxa"/>
              <w:end w:w="100" w:type="dxa"/>
            </w:tcMar>
          </w:tcPr>
          <w:p>
            <w:r>
              <w:t>Final main figure 2; hash-locked.</w:t>
            </w:r>
          </w:p>
        </w:tc>
      </w:tr>
      <w:tr>
        <w:trPr>
          <w:cantSplit/>
        </w:trPr>
        <w:tc>
          <w:tcPr>
            <w:tcW w:type="dxa" w:w="5083"/>
            <w:tcMar>
              <w:top w:w="100" w:type="dxa"/>
              <w:start w:w="100" w:type="dxa"/>
              <w:bottom w:w="100" w:type="dxa"/>
              <w:end w:w="100" w:type="dxa"/>
            </w:tcMar>
          </w:tcPr>
          <w:p>
            <w:r>
              <w:rPr>
                <w:b/>
              </w:rPr>
              <w:t>Figure_3.tiff</w:t>
            </w:r>
          </w:p>
        </w:tc>
        <w:tc>
          <w:tcPr>
            <w:tcW w:type="dxa" w:w="5083"/>
            <w:tcMar>
              <w:top w:w="100" w:type="dxa"/>
              <w:start w:w="100" w:type="dxa"/>
              <w:bottom w:w="100" w:type="dxa"/>
              <w:end w:w="100" w:type="dxa"/>
            </w:tcMar>
          </w:tcPr>
          <w:p>
            <w:r>
              <w:t>Final main figure 3; hash-locked.</w:t>
            </w:r>
          </w:p>
        </w:tc>
      </w:tr>
      <w:tr>
        <w:trPr>
          <w:cantSplit/>
        </w:trPr>
        <w:tc>
          <w:tcPr>
            <w:tcW w:type="dxa" w:w="5083"/>
            <w:tcMar>
              <w:top w:w="100" w:type="dxa"/>
              <w:start w:w="100" w:type="dxa"/>
              <w:bottom w:w="100" w:type="dxa"/>
              <w:end w:w="100" w:type="dxa"/>
            </w:tcMar>
          </w:tcPr>
          <w:p>
            <w:r>
              <w:rPr>
                <w:b/>
              </w:rPr>
              <w:t>Figure_4.tiff</w:t>
            </w:r>
          </w:p>
        </w:tc>
        <w:tc>
          <w:tcPr>
            <w:tcW w:type="dxa" w:w="5083"/>
            <w:tcMar>
              <w:top w:w="100" w:type="dxa"/>
              <w:start w:w="100" w:type="dxa"/>
              <w:bottom w:w="100" w:type="dxa"/>
              <w:end w:w="100" w:type="dxa"/>
            </w:tcMar>
          </w:tcPr>
          <w:p>
            <w:r>
              <w:t>Final main figure 4; hash-locked.</w:t>
            </w:r>
          </w:p>
        </w:tc>
      </w:tr>
      <w:tr>
        <w:trPr>
          <w:cantSplit/>
        </w:trPr>
        <w:tc>
          <w:tcPr>
            <w:tcW w:type="dxa" w:w="5083"/>
            <w:tcMar>
              <w:top w:w="100" w:type="dxa"/>
              <w:start w:w="100" w:type="dxa"/>
              <w:bottom w:w="100" w:type="dxa"/>
              <w:end w:w="100" w:type="dxa"/>
            </w:tcMar>
          </w:tcPr>
          <w:p>
            <w:r>
              <w:rPr>
                <w:b/>
              </w:rPr>
              <w:t>Figure_5.tiff</w:t>
            </w:r>
          </w:p>
        </w:tc>
        <w:tc>
          <w:tcPr>
            <w:tcW w:type="dxa" w:w="5083"/>
            <w:tcMar>
              <w:top w:w="100" w:type="dxa"/>
              <w:start w:w="100" w:type="dxa"/>
              <w:bottom w:w="100" w:type="dxa"/>
              <w:end w:w="100" w:type="dxa"/>
            </w:tcMar>
          </w:tcPr>
          <w:p>
            <w:r>
              <w:t>Final main figure 5; hash-locked.</w:t>
            </w:r>
          </w:p>
        </w:tc>
      </w:tr>
      <w:tr>
        <w:trPr>
          <w:cantSplit/>
        </w:trPr>
        <w:tc>
          <w:tcPr>
            <w:tcW w:type="dxa" w:w="5083"/>
            <w:tcMar>
              <w:top w:w="100" w:type="dxa"/>
              <w:start w:w="100" w:type="dxa"/>
              <w:bottom w:w="100" w:type="dxa"/>
              <w:end w:w="100" w:type="dxa"/>
            </w:tcMar>
          </w:tcPr>
          <w:p>
            <w:r>
              <w:rPr>
                <w:b/>
              </w:rPr>
              <w:t>Figure_6.tiff</w:t>
            </w:r>
          </w:p>
        </w:tc>
        <w:tc>
          <w:tcPr>
            <w:tcW w:type="dxa" w:w="5083"/>
            <w:tcMar>
              <w:top w:w="100" w:type="dxa"/>
              <w:start w:w="100" w:type="dxa"/>
              <w:bottom w:w="100" w:type="dxa"/>
              <w:end w:w="100" w:type="dxa"/>
            </w:tcMar>
          </w:tcPr>
          <w:p>
            <w:r>
              <w:t>Final main figure 6; hash-locked.</w:t>
            </w:r>
          </w:p>
        </w:tc>
      </w:tr>
      <w:tr>
        <w:trPr>
          <w:cantSplit/>
        </w:trPr>
        <w:tc>
          <w:tcPr>
            <w:tcW w:type="dxa" w:w="5083"/>
            <w:tcMar>
              <w:top w:w="100" w:type="dxa"/>
              <w:start w:w="100" w:type="dxa"/>
              <w:bottom w:w="100" w:type="dxa"/>
              <w:end w:w="100" w:type="dxa"/>
            </w:tcMar>
          </w:tcPr>
          <w:p>
            <w:r>
              <w:rPr>
                <w:b/>
              </w:rPr>
              <w:t>Fiji_abstract.jpeg</w:t>
            </w:r>
          </w:p>
        </w:tc>
        <w:tc>
          <w:tcPr>
            <w:tcW w:type="dxa" w:w="5083"/>
            <w:tcMar>
              <w:top w:w="100" w:type="dxa"/>
              <w:start w:w="100" w:type="dxa"/>
              <w:bottom w:w="100" w:type="dxa"/>
              <w:end w:w="100" w:type="dxa"/>
            </w:tcMar>
          </w:tcPr>
          <w:p>
            <w:r>
              <w:t>Graphical abstract candidate; manually created after BioRender prompt; not checksum-locked in chat.</w:t>
            </w:r>
          </w:p>
        </w:tc>
      </w:tr>
      <w:tr>
        <w:trPr>
          <w:cantSplit/>
        </w:trPr>
        <w:tc>
          <w:tcPr>
            <w:tcW w:type="dxa" w:w="5083"/>
            <w:tcMar>
              <w:top w:w="100" w:type="dxa"/>
              <w:start w:w="100" w:type="dxa"/>
              <w:bottom w:w="100" w:type="dxa"/>
              <w:end w:w="100" w:type="dxa"/>
            </w:tcMar>
          </w:tcPr>
          <w:p>
            <w:r>
              <w:rPr>
                <w:b/>
              </w:rPr>
              <w:t>Highlights.docx</w:t>
            </w:r>
          </w:p>
        </w:tc>
        <w:tc>
          <w:tcPr>
            <w:tcW w:type="dxa" w:w="5083"/>
            <w:tcMar>
              <w:top w:w="100" w:type="dxa"/>
              <w:start w:w="100" w:type="dxa"/>
              <w:bottom w:w="100" w:type="dxa"/>
              <w:end w:w="100" w:type="dxa"/>
            </w:tcMar>
          </w:tcPr>
          <w:p>
            <w:r>
              <w:t>Five highlights, each &lt;=85 characters; canonical hash verified in the earlier package.</w:t>
            </w:r>
          </w:p>
        </w:tc>
      </w:tr>
      <w:tr>
        <w:trPr>
          <w:cantSplit/>
        </w:trPr>
        <w:tc>
          <w:tcPr>
            <w:tcW w:type="dxa" w:w="5083"/>
            <w:tcMar>
              <w:top w:w="100" w:type="dxa"/>
              <w:start w:w="100" w:type="dxa"/>
              <w:bottom w:w="100" w:type="dxa"/>
              <w:end w:w="100" w:type="dxa"/>
            </w:tcMar>
          </w:tcPr>
          <w:p>
            <w:r>
              <w:rPr>
                <w:b/>
              </w:rPr>
              <w:t>Manuscript.docx</w:t>
            </w:r>
          </w:p>
        </w:tc>
        <w:tc>
          <w:tcPr>
            <w:tcW w:type="dxa" w:w="5083"/>
            <w:tcMar>
              <w:top w:w="100" w:type="dxa"/>
              <w:start w:w="100" w:type="dxa"/>
              <w:bottom w:w="100" w:type="dxa"/>
              <w:end w:w="100" w:type="dxa"/>
            </w:tcMar>
          </w:tcPr>
          <w:p>
            <w:r>
              <w:t>Main clean manuscript; current staged identity must be audited against canonical v5.1 before typesetting certification.</w:t>
            </w:r>
          </w:p>
        </w:tc>
      </w:tr>
      <w:tr>
        <w:trPr>
          <w:cantSplit/>
        </w:trPr>
        <w:tc>
          <w:tcPr>
            <w:tcW w:type="dxa" w:w="5083"/>
            <w:tcMar>
              <w:top w:w="100" w:type="dxa"/>
              <w:start w:w="100" w:type="dxa"/>
              <w:bottom w:w="100" w:type="dxa"/>
              <w:end w:w="100" w:type="dxa"/>
            </w:tcMar>
          </w:tcPr>
          <w:p>
            <w:r>
              <w:rPr>
                <w:b/>
              </w:rPr>
              <w:t>Supplementary_Figure_S1.tiff</w:t>
            </w:r>
          </w:p>
        </w:tc>
        <w:tc>
          <w:tcPr>
            <w:tcW w:type="dxa" w:w="5083"/>
            <w:tcMar>
              <w:top w:w="100" w:type="dxa"/>
              <w:start w:w="100" w:type="dxa"/>
              <w:bottom w:w="100" w:type="dxa"/>
              <w:end w:w="100" w:type="dxa"/>
            </w:tcMar>
          </w:tcPr>
          <w:p>
            <w:r>
              <w:t>Only supplementary material.</w:t>
            </w:r>
          </w:p>
        </w:tc>
      </w:tr>
      <w:tr>
        <w:trPr>
          <w:cantSplit/>
        </w:trPr>
        <w:tc>
          <w:tcPr>
            <w:tcW w:type="dxa" w:w="5083"/>
            <w:tcMar>
              <w:top w:w="100" w:type="dxa"/>
              <w:start w:w="100" w:type="dxa"/>
              <w:bottom w:w="100" w:type="dxa"/>
              <w:end w:w="100" w:type="dxa"/>
            </w:tcMar>
          </w:tcPr>
          <w:p>
            <w:r>
              <w:rPr>
                <w:b/>
              </w:rPr>
              <w:t>Table_1.docx</w:t>
            </w:r>
          </w:p>
        </w:tc>
        <w:tc>
          <w:tcPr>
            <w:tcW w:type="dxa" w:w="5083"/>
            <w:tcMar>
              <w:top w:w="100" w:type="dxa"/>
              <w:start w:w="100" w:type="dxa"/>
              <w:bottom w:w="100" w:type="dxa"/>
              <w:end w:w="100" w:type="dxa"/>
            </w:tcMar>
          </w:tcPr>
          <w:p>
            <w:r>
              <w:t>Editable separate Table 1 source.</w:t>
            </w:r>
          </w:p>
        </w:tc>
      </w:tr>
      <w:tr>
        <w:trPr>
          <w:cantSplit/>
        </w:trPr>
        <w:tc>
          <w:tcPr>
            <w:tcW w:type="dxa" w:w="5083"/>
            <w:tcMar>
              <w:top w:w="100" w:type="dxa"/>
              <w:start w:w="100" w:type="dxa"/>
              <w:bottom w:w="100" w:type="dxa"/>
              <w:end w:w="100" w:type="dxa"/>
            </w:tcMar>
          </w:tcPr>
          <w:p>
            <w:r>
              <w:rPr>
                <w:b/>
              </w:rPr>
              <w:t>Title_Page_Clean.docx</w:t>
            </w:r>
          </w:p>
        </w:tc>
        <w:tc>
          <w:tcPr>
            <w:tcW w:type="dxa" w:w="5083"/>
            <w:tcMar>
              <w:top w:w="100" w:type="dxa"/>
              <w:start w:w="100" w:type="dxa"/>
              <w:bottom w:w="100" w:type="dxa"/>
              <w:end w:w="100" w:type="dxa"/>
            </w:tcMar>
          </w:tcPr>
          <w:p>
            <w:r>
              <w:t>Required clean/unmarked title page; canonical hash verified.</w:t>
            </w:r>
          </w:p>
        </w:tc>
      </w:tr>
      <w:tr>
        <w:trPr>
          <w:cantSplit/>
        </w:trPr>
        <w:tc>
          <w:tcPr>
            <w:tcW w:type="dxa" w:w="5083"/>
            <w:tcMar>
              <w:top w:w="100" w:type="dxa"/>
              <w:start w:w="100" w:type="dxa"/>
              <w:bottom w:w="100" w:type="dxa"/>
              <w:end w:w="100" w:type="dxa"/>
            </w:tcMar>
          </w:tcPr>
          <w:p>
            <w:r>
              <w:rPr>
                <w:b/>
              </w:rPr>
              <w:t>declarationStatement.docx</w:t>
            </w:r>
          </w:p>
        </w:tc>
        <w:tc>
          <w:tcPr>
            <w:tcW w:type="dxa" w:w="5083"/>
            <w:tcMar>
              <w:top w:w="100" w:type="dxa"/>
              <w:start w:w="100" w:type="dxa"/>
              <w:bottom w:w="100" w:type="dxa"/>
              <w:end w:w="100" w:type="dxa"/>
            </w:tcMar>
          </w:tcPr>
          <w:p>
            <w:r>
              <w:t>Portal/declaration file added by user; verify content and upload category in current session.</w:t>
            </w:r>
          </w:p>
        </w:tc>
      </w:tr>
    </w:tbl>
    <w:p>
      <w:r>
        <w:rPr>
          <w:b/>
        </w:rPr>
        <w:t xml:space="preserve">Earlier 11-file base-package ZIP SHA-256: </w:t>
      </w:r>
      <w:r>
        <w:rPr>
          <w:rFonts w:ascii="Consolas" w:hAnsi="Consolas"/>
        </w:rPr>
        <w:t>d71b6909bfe13318a62bc05e13bec5d8e13ffc243b30c994fbfa10eb0b9589f7</w:t>
      </w:r>
    </w:p>
    <w:p>
      <w:r>
        <w:rPr>
          <w:b/>
        </w:rPr>
        <w:t xml:space="preserve">Note: </w:t>
      </w:r>
      <w:r>
        <w:t>That ZIP predates the later Abstract, clean Title Page, graphical abstract, declaration file, and duplicate cover-letter PDF additions. Use it as a provenance baseline, not as the final current upload package.</w:t>
      </w:r>
    </w:p>
    <w:p>
      <w:pPr>
        <w:pStyle w:val="Heading1"/>
      </w:pPr>
      <w:r>
        <w:t>8. Vaccine submission-system decisions already made</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FFF2CC"/>
            <w:tcMar>
              <w:top w:w="100" w:type="dxa"/>
              <w:start w:w="100" w:type="dxa"/>
              <w:bottom w:w="100" w:type="dxa"/>
              <w:end w:w="100" w:type="dxa"/>
            </w:tcMar>
          </w:tcPr>
          <w:p>
            <w:r>
              <w:rPr>
                <w:b/>
              </w:rPr>
              <w:t>Portal item</w:t>
            </w:r>
          </w:p>
        </w:tc>
        <w:tc>
          <w:tcPr>
            <w:tcW w:type="dxa" w:w="5083"/>
            <w:shd w:fill="FFF2CC"/>
            <w:tcMar>
              <w:top w:w="100" w:type="dxa"/>
              <w:start w:w="100" w:type="dxa"/>
              <w:bottom w:w="100" w:type="dxa"/>
              <w:end w:w="100" w:type="dxa"/>
            </w:tcMar>
          </w:tcPr>
          <w:p>
            <w:r>
              <w:rPr>
                <w:b/>
              </w:rPr>
              <w:t>Established response</w:t>
            </w:r>
          </w:p>
        </w:tc>
      </w:tr>
      <w:tr>
        <w:trPr>
          <w:cantSplit/>
        </w:trPr>
        <w:tc>
          <w:tcPr>
            <w:tcW w:type="dxa" w:w="5083"/>
            <w:tcMar>
              <w:top w:w="100" w:type="dxa"/>
              <w:start w:w="100" w:type="dxa"/>
              <w:bottom w:w="100" w:type="dxa"/>
              <w:end w:w="100" w:type="dxa"/>
            </w:tcMar>
          </w:tcPr>
          <w:p>
            <w:r>
              <w:rPr>
                <w:b/>
              </w:rPr>
              <w:t>Open access choice</w:t>
            </w:r>
          </w:p>
        </w:tc>
        <w:tc>
          <w:tcPr>
            <w:tcW w:type="dxa" w:w="5083"/>
            <w:tcMar>
              <w:top w:w="100" w:type="dxa"/>
              <w:start w:w="100" w:type="dxa"/>
              <w:bottom w:w="100" w:type="dxa"/>
              <w:end w:w="100" w:type="dxa"/>
            </w:tcMar>
          </w:tcPr>
          <w:p>
            <w:r>
              <w:t>Select “No, I do not intend to publish Open Access” to use Vaccine's subscription route, unless the author later deliberately changes strategy after rechecking current charges/waivers.</w:t>
            </w:r>
          </w:p>
        </w:tc>
      </w:tr>
      <w:tr>
        <w:trPr>
          <w:cantSplit/>
        </w:trPr>
        <w:tc>
          <w:tcPr>
            <w:tcW w:type="dxa" w:w="5083"/>
            <w:tcMar>
              <w:top w:w="100" w:type="dxa"/>
              <w:start w:w="100" w:type="dxa"/>
              <w:bottom w:w="100" w:type="dxa"/>
              <w:end w:w="100" w:type="dxa"/>
            </w:tcMar>
          </w:tcPr>
          <w:p>
            <w:r>
              <w:rPr>
                <w:b/>
              </w:rPr>
              <w:t>Detailed vaccine/subject-characteristics certification</w:t>
            </w:r>
          </w:p>
        </w:tc>
        <w:tc>
          <w:tcPr>
            <w:tcW w:type="dxa" w:w="5083"/>
            <w:tcMar>
              <w:top w:w="100" w:type="dxa"/>
              <w:start w:w="100" w:type="dxa"/>
              <w:bottom w:w="100" w:type="dxa"/>
              <w:end w:w="100" w:type="dxa"/>
            </w:tcMar>
          </w:tcPr>
          <w:p>
            <w:r>
              <w:t>Do not certify that all requested details are present. Suggested explanation: “Secondary analysis of public data; vaccine lot, injection details, concomitant vaccines/drugs, BMI, smoking, race/ethnicity, and some clinical variables were unavailable.”</w:t>
            </w:r>
          </w:p>
        </w:tc>
      </w:tr>
      <w:tr>
        <w:trPr>
          <w:cantSplit/>
        </w:trPr>
        <w:tc>
          <w:tcPr>
            <w:tcW w:type="dxa" w:w="5083"/>
            <w:tcMar>
              <w:top w:w="100" w:type="dxa"/>
              <w:start w:w="100" w:type="dxa"/>
              <w:bottom w:w="100" w:type="dxa"/>
              <w:end w:w="100" w:type="dxa"/>
            </w:tcMar>
          </w:tcPr>
          <w:p>
            <w:r>
              <w:rPr>
                <w:b/>
              </w:rPr>
              <w:t>Clinical-trial registry question</w:t>
            </w:r>
          </w:p>
        </w:tc>
        <w:tc>
          <w:tcPr>
            <w:tcW w:type="dxa" w:w="5083"/>
            <w:tcMar>
              <w:top w:w="100" w:type="dxa"/>
              <w:start w:w="100" w:type="dxa"/>
              <w:bottom w:w="100" w:type="dxa"/>
              <w:end w:w="100" w:type="dxa"/>
            </w:tcMar>
          </w:tcPr>
          <w:p>
            <w:r>
              <w:t>Use: “This is a secondary analysis of a registered parent study (ClinicalTrials.gov NCT02276521); no new clinical trial was conducted.”</w:t>
            </w:r>
          </w:p>
        </w:tc>
      </w:tr>
      <w:tr>
        <w:trPr>
          <w:cantSplit/>
        </w:trPr>
        <w:tc>
          <w:tcPr>
            <w:tcW w:type="dxa" w:w="5083"/>
            <w:tcMar>
              <w:top w:w="100" w:type="dxa"/>
              <w:start w:w="100" w:type="dxa"/>
              <w:bottom w:w="100" w:type="dxa"/>
              <w:end w:w="100" w:type="dxa"/>
            </w:tcMar>
          </w:tcPr>
          <w:p>
            <w:r>
              <w:rPr>
                <w:b/>
              </w:rPr>
              <w:t>Data availability dropdown</w:t>
            </w:r>
          </w:p>
        </w:tc>
        <w:tc>
          <w:tcPr>
            <w:tcW w:type="dxa" w:w="5083"/>
            <w:tcMar>
              <w:top w:w="100" w:type="dxa"/>
              <w:start w:w="100" w:type="dxa"/>
              <w:bottom w:w="100" w:type="dxa"/>
              <w:end w:w="100" w:type="dxa"/>
            </w:tcMar>
          </w:tcPr>
          <w:p>
            <w:r>
              <w:t>Choose “Other (please explain...)”. Short text used: “Source data: Zenodo 10.5281/zenodo.14848069. Derived data and code: github.com/rmaghembe1/HPV_Vaccine_Trafficome.”</w:t>
            </w:r>
          </w:p>
        </w:tc>
      </w:tr>
      <w:tr>
        <w:trPr>
          <w:cantSplit/>
        </w:trPr>
        <w:tc>
          <w:tcPr>
            <w:tcW w:type="dxa" w:w="5083"/>
            <w:tcMar>
              <w:top w:w="100" w:type="dxa"/>
              <w:start w:w="100" w:type="dxa"/>
              <w:bottom w:w="100" w:type="dxa"/>
              <w:end w:w="100" w:type="dxa"/>
            </w:tcMar>
          </w:tcPr>
          <w:p>
            <w:r>
              <w:rPr>
                <w:b/>
              </w:rPr>
              <w:t>Latest clean manuscript/typesetting confirmation</w:t>
            </w:r>
          </w:p>
        </w:tc>
        <w:tc>
          <w:tcPr>
            <w:tcW w:type="dxa" w:w="5083"/>
            <w:tcMar>
              <w:top w:w="100" w:type="dxa"/>
              <w:start w:w="100" w:type="dxa"/>
              <w:bottom w:w="100" w:type="dxa"/>
              <w:end w:w="100" w:type="dxa"/>
            </w:tcMar>
          </w:tcPr>
          <w:p>
            <w:r>
              <w:t>Confirm only after verifying that the exact intended clean manuscript has been uploaded. Text used: “I confirm that the latest clean version of the manuscript has been uploaded and is the version intended for typesetting if accepted.”</w:t>
            </w:r>
          </w:p>
        </w:tc>
      </w:tr>
      <w:tr>
        <w:trPr>
          <w:cantSplit/>
        </w:trPr>
        <w:tc>
          <w:tcPr>
            <w:tcW w:type="dxa" w:w="5083"/>
            <w:tcMar>
              <w:top w:w="100" w:type="dxa"/>
              <w:start w:w="100" w:type="dxa"/>
              <w:bottom w:w="100" w:type="dxa"/>
              <w:end w:w="100" w:type="dxa"/>
            </w:tcMar>
          </w:tcPr>
          <w:p>
            <w:r>
              <w:rPr>
                <w:b/>
              </w:rPr>
              <w:t>Supplementary material</w:t>
            </w:r>
          </w:p>
        </w:tc>
        <w:tc>
          <w:tcPr>
            <w:tcW w:type="dxa" w:w="5083"/>
            <w:tcMar>
              <w:top w:w="100" w:type="dxa"/>
              <w:start w:w="100" w:type="dxa"/>
              <w:bottom w:w="100" w:type="dxa"/>
              <w:end w:w="100" w:type="dxa"/>
            </w:tcMar>
          </w:tcPr>
          <w:p>
            <w:r>
              <w:t>Yes. One supplementary file/material item: Supplementary Figure S1.</w:t>
            </w:r>
          </w:p>
        </w:tc>
      </w:tr>
    </w:tbl>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60" w:type="dxa"/>
              <w:bottom w:w="140" w:type="dxa"/>
              <w:end w:w="160" w:type="dxa"/>
            </w:tcMar>
          </w:tcPr>
          <w:p>
            <w:r>
              <w:rPr>
                <w:b/>
                <w:color w:val="1F4E79"/>
                <w:sz w:val="22"/>
              </w:rPr>
              <w:t>Journal-policy freshness rule</w:t>
              <w:br/>
            </w:r>
            <w:r>
              <w:rPr>
                <w:sz w:val="21"/>
              </w:rPr>
              <w:t>Any future assistant should re-check the current Vaccine Guide for Authors before acting on fees, waiver eligibility, file requirements, article limits, graphical-abstract rules, or reviewer requirements. These can change after 18 Aug 2026.</w:t>
            </w:r>
          </w:p>
        </w:tc>
      </w:tr>
    </w:tbl>
    <w:p>
      <w:pPr>
        <w:spacing w:after="20"/>
      </w:pPr>
    </w:p>
    <w:p>
      <w:pPr>
        <w:pStyle w:val="Heading1"/>
      </w:pPr>
      <w:r>
        <w:t>9. Canonical abstract and highlights</w:t>
      </w:r>
    </w:p>
    <w:p>
      <w:pPr>
        <w:pStyle w:val="Heading2"/>
      </w:pPr>
      <w:r>
        <w:t>9.1 Abstract</w:t>
      </w:r>
    </w:p>
    <w:p>
      <w:r>
        <w:rPr>
          <w:b/>
        </w:rPr>
        <w:t xml:space="preserve">Background: </w:t>
      </w:r>
      <w:r>
        <w:t>Reduced-dose human papillomavirus (HPV) vaccination can provide durable protection, but antibody concentration alone does not define the functional breadth or organization of long-term vaccine memory and heterologous recall.</w:t>
      </w:r>
    </w:p>
    <w:p>
      <w:r>
        <w:rPr>
          <w:b/>
        </w:rPr>
        <w:t xml:space="preserve">Methods: </w:t>
      </w:r>
      <w:r>
        <w:t>I reanalyzed public longitudinal systems-serology data from 80 Fijian participants with zero, one, two, or three previous quadrivalent HPV vaccine doses. Analyses quantified primary and heterologous bivalent recall responses, matched bovine-papillomavirus (BPV) sensitivity calibration, cross-reactive breadth, previous-dose-adjusted phagocytosis-neutralization coupling, principal-component stability, and prespecified clustering stability.</w:t>
      </w:r>
    </w:p>
    <w:p>
      <w:r>
        <w:rPr>
          <w:b/>
        </w:rPr>
        <w:t xml:space="preserve">Results: </w:t>
      </w:r>
      <w:r>
        <w:t>Primary bivalent vaccination induced coordinated HPV16/18 binding, subclass, neutralizing, and phagocytic responses, while vaccine-type signals remained measurable six years after quadrivalent vaccination. During heterologous recall, BPV-calibrated global cross-reactive breadth increased by 1.37 log2 units (false-discovery-rate-adjusted q=6.42 x 10^-5), and HPV16 phagocytosis-neutralization coupling persisted after adjustment for previous-dose group (partial Spearman rho=0.759; q=4.94 x 10^-12). Principal-component analysis resolved a reproducible cross-reactive recall-breadth axis and a distinct HPV16/18 abundance-effector axis. A stable raw two-cluster solution aligned 77 of 80 participants with primary-versus-recall context, whereas no calibrated two- to six-cluster solution met all prespecified stability criteria.</w:t>
      </w:r>
    </w:p>
    <w:p>
      <w:r>
        <w:rPr>
          <w:b/>
        </w:rPr>
        <w:t xml:space="preserve">Conclusions: </w:t>
      </w:r>
      <w:r>
        <w:t>HPV vaccine serology in this cohort was organized primarily as continuous, context-responsive immune states rather than stable responder classes. Quantitative breadth, functional coupling, and background-sensitive multivariate analysis provide complementary measures of durable and recalled vaccine immunity beyond antibody magnitude alone.</w:t>
      </w:r>
    </w:p>
    <w:p>
      <w:r>
        <w:rPr>
          <w:b/>
        </w:rPr>
        <w:t xml:space="preserve">ClinicalTrials.gov: </w:t>
      </w:r>
      <w:r>
        <w:t>NCT02276521</w:t>
      </w:r>
    </w:p>
    <w:p>
      <w:r>
        <w:rPr>
          <w:b/>
        </w:rPr>
        <w:t xml:space="preserve">Keywords: </w:t>
      </w:r>
      <w:r>
        <w:t>dose sparing; antibody-dependent cellular phagocytosis; Fc receptor; cross-reactivity; immune memory; multivariate analysis</w:t>
      </w:r>
    </w:p>
    <w:p>
      <w:pPr>
        <w:pStyle w:val="Heading2"/>
      </w:pPr>
      <w:r>
        <w:t>9.2 Highlights</w:t>
      </w:r>
    </w:p>
    <w:p>
      <w:pPr>
        <w:pStyle w:val="ListBullet"/>
        <w:spacing w:after="40"/>
      </w:pPr>
      <w:r>
        <w:t>Heterologous HPV vaccine recall broadens cross-reactive Fc-functional immunity.</w:t>
      </w:r>
    </w:p>
    <w:p>
      <w:pPr>
        <w:pStyle w:val="ListBullet"/>
        <w:spacing w:after="40"/>
      </w:pPr>
      <w:r>
        <w:t>HPV16 phagocytosis-neutralization coupling persists after dose adjustment.</w:t>
      </w:r>
    </w:p>
    <w:p>
      <w:pPr>
        <w:pStyle w:val="ListBullet"/>
        <w:spacing w:after="40"/>
      </w:pPr>
      <w:r>
        <w:t>Systems serology resolves reproducible recall-breadth and vaccine-type axes.</w:t>
      </w:r>
    </w:p>
    <w:p>
      <w:pPr>
        <w:pStyle w:val="ListBullet"/>
        <w:spacing w:after="40"/>
      </w:pPr>
      <w:r>
        <w:t>Stable raw clusters largely recapitulate primary-versus-recall context.</w:t>
      </w:r>
    </w:p>
    <w:p>
      <w:pPr>
        <w:pStyle w:val="ListBullet"/>
        <w:spacing w:after="40"/>
      </w:pPr>
      <w:r>
        <w:t>Calibrated responses support continuous rather than discrete immune states.</w:t>
      </w:r>
    </w:p>
    <w:p>
      <w:pPr>
        <w:pStyle w:val="Heading1"/>
      </w:pPr>
      <w:r>
        <w:t>10. Author, affiliations, declarations, and end matter</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E2F0D9"/>
            <w:tcMar>
              <w:top w:w="100" w:type="dxa"/>
              <w:start w:w="100" w:type="dxa"/>
              <w:bottom w:w="100" w:type="dxa"/>
              <w:end w:w="100" w:type="dxa"/>
            </w:tcMar>
          </w:tcPr>
          <w:p>
            <w:r>
              <w:rPr>
                <w:b/>
              </w:rPr>
              <w:t>Field</w:t>
            </w:r>
          </w:p>
        </w:tc>
        <w:tc>
          <w:tcPr>
            <w:tcW w:type="dxa" w:w="5083"/>
            <w:shd w:fill="E2F0D9"/>
            <w:tcMar>
              <w:top w:w="100" w:type="dxa"/>
              <w:start w:w="100" w:type="dxa"/>
              <w:bottom w:w="100" w:type="dxa"/>
              <w:end w:w="100" w:type="dxa"/>
            </w:tcMar>
          </w:tcPr>
          <w:p>
            <w:r>
              <w:rPr>
                <w:b/>
              </w:rPr>
              <w:t>Current text/state</w:t>
            </w:r>
          </w:p>
        </w:tc>
      </w:tr>
      <w:tr>
        <w:trPr>
          <w:cantSplit/>
        </w:trPr>
        <w:tc>
          <w:tcPr>
            <w:tcW w:type="dxa" w:w="5083"/>
            <w:tcMar>
              <w:top w:w="100" w:type="dxa"/>
              <w:start w:w="100" w:type="dxa"/>
              <w:bottom w:w="100" w:type="dxa"/>
              <w:end w:w="100" w:type="dxa"/>
            </w:tcMar>
          </w:tcPr>
          <w:p>
            <w:r>
              <w:rPr>
                <w:b/>
              </w:rPr>
              <w:t>Author</w:t>
            </w:r>
          </w:p>
        </w:tc>
        <w:tc>
          <w:tcPr>
            <w:tcW w:type="dxa" w:w="5083"/>
            <w:tcMar>
              <w:top w:w="100" w:type="dxa"/>
              <w:start w:w="100" w:type="dxa"/>
              <w:bottom w:w="100" w:type="dxa"/>
              <w:end w:w="100" w:type="dxa"/>
            </w:tcMar>
          </w:tcPr>
          <w:p>
            <w:r>
              <w:t>Reuben S. Maghembe, PhD</w:t>
            </w:r>
          </w:p>
        </w:tc>
      </w:tr>
      <w:tr>
        <w:trPr>
          <w:cantSplit/>
        </w:trPr>
        <w:tc>
          <w:tcPr>
            <w:tcW w:type="dxa" w:w="5083"/>
            <w:tcMar>
              <w:top w:w="100" w:type="dxa"/>
              <w:start w:w="100" w:type="dxa"/>
              <w:bottom w:w="100" w:type="dxa"/>
              <w:end w:w="100" w:type="dxa"/>
            </w:tcMar>
          </w:tcPr>
          <w:p>
            <w:r>
              <w:rPr>
                <w:b/>
              </w:rPr>
              <w:t>Affiliation a</w:t>
            </w:r>
          </w:p>
        </w:tc>
        <w:tc>
          <w:tcPr>
            <w:tcW w:type="dxa" w:w="5083"/>
            <w:tcMar>
              <w:top w:w="100" w:type="dxa"/>
              <w:start w:w="100" w:type="dxa"/>
              <w:bottom w:w="100" w:type="dxa"/>
              <w:end w:w="100" w:type="dxa"/>
            </w:tcMar>
          </w:tcPr>
          <w:p>
            <w:r>
              <w:t>Department of Microbiology and Parasitology, Faculty of Medicine, St. Francis University College of Health and Allied Sciences, P.O. Box 175, Ifakara, Tanzania</w:t>
            </w:r>
          </w:p>
        </w:tc>
      </w:tr>
      <w:tr>
        <w:trPr>
          <w:cantSplit/>
        </w:trPr>
        <w:tc>
          <w:tcPr>
            <w:tcW w:type="dxa" w:w="5083"/>
            <w:tcMar>
              <w:top w:w="100" w:type="dxa"/>
              <w:start w:w="100" w:type="dxa"/>
              <w:bottom w:w="100" w:type="dxa"/>
              <w:end w:w="100" w:type="dxa"/>
            </w:tcMar>
          </w:tcPr>
          <w:p>
            <w:r>
              <w:rPr>
                <w:b/>
              </w:rPr>
              <w:t>Affiliation b</w:t>
            </w:r>
          </w:p>
        </w:tc>
        <w:tc>
          <w:tcPr>
            <w:tcW w:type="dxa" w:w="5083"/>
            <w:tcMar>
              <w:top w:w="100" w:type="dxa"/>
              <w:start w:w="100" w:type="dxa"/>
              <w:bottom w:w="100" w:type="dxa"/>
              <w:end w:w="100" w:type="dxa"/>
            </w:tcMar>
          </w:tcPr>
          <w:p>
            <w:r>
              <w:t>Department of Omics and Computational Biology, AfroBiomics Co. Ltd., Samora Tower, Bridge Street, P.O. Box 40831, Dar es Salaam, Tanzania</w:t>
            </w:r>
          </w:p>
        </w:tc>
      </w:tr>
      <w:tr>
        <w:trPr>
          <w:cantSplit/>
        </w:trPr>
        <w:tc>
          <w:tcPr>
            <w:tcW w:type="dxa" w:w="5083"/>
            <w:tcMar>
              <w:top w:w="100" w:type="dxa"/>
              <w:start w:w="100" w:type="dxa"/>
              <w:bottom w:w="100" w:type="dxa"/>
              <w:end w:w="100" w:type="dxa"/>
            </w:tcMar>
          </w:tcPr>
          <w:p>
            <w:r>
              <w:rPr>
                <w:b/>
              </w:rPr>
              <w:t>Corresponding author</w:t>
            </w:r>
          </w:p>
        </w:tc>
        <w:tc>
          <w:tcPr>
            <w:tcW w:type="dxa" w:w="5083"/>
            <w:tcMar>
              <w:top w:w="100" w:type="dxa"/>
              <w:start w:w="100" w:type="dxa"/>
              <w:bottom w:w="100" w:type="dxa"/>
              <w:end w:w="100" w:type="dxa"/>
            </w:tcMar>
          </w:tcPr>
          <w:p>
            <w:r>
              <w:t>Reuben S. Maghembe; SFUCHAS, Ifakara, Tanzania</w:t>
            </w:r>
          </w:p>
        </w:tc>
      </w:tr>
      <w:tr>
        <w:trPr>
          <w:cantSplit/>
        </w:trPr>
        <w:tc>
          <w:tcPr>
            <w:tcW w:type="dxa" w:w="5083"/>
            <w:tcMar>
              <w:top w:w="100" w:type="dxa"/>
              <w:start w:w="100" w:type="dxa"/>
              <w:bottom w:w="100" w:type="dxa"/>
              <w:end w:w="100" w:type="dxa"/>
            </w:tcMar>
          </w:tcPr>
          <w:p>
            <w:r>
              <w:rPr>
                <w:b/>
              </w:rPr>
              <w:t>Emails</w:t>
            </w:r>
          </w:p>
        </w:tc>
        <w:tc>
          <w:tcPr>
            <w:tcW w:type="dxa" w:w="5083"/>
            <w:tcMar>
              <w:top w:w="100" w:type="dxa"/>
              <w:start w:w="100" w:type="dxa"/>
              <w:bottom w:w="100" w:type="dxa"/>
              <w:end w:w="100" w:type="dxa"/>
            </w:tcMar>
          </w:tcPr>
          <w:p>
            <w:r>
              <w:t>rmaghembe@gmail.com; rmaghembe@sfuchas.ac.tz</w:t>
            </w:r>
          </w:p>
        </w:tc>
      </w:tr>
      <w:tr>
        <w:trPr>
          <w:cantSplit/>
        </w:trPr>
        <w:tc>
          <w:tcPr>
            <w:tcW w:type="dxa" w:w="5083"/>
            <w:tcMar>
              <w:top w:w="100" w:type="dxa"/>
              <w:start w:w="100" w:type="dxa"/>
              <w:bottom w:w="100" w:type="dxa"/>
              <w:end w:w="100" w:type="dxa"/>
            </w:tcMar>
          </w:tcPr>
          <w:p>
            <w:r>
              <w:rPr>
                <w:b/>
              </w:rPr>
              <w:t>Funding</w:t>
            </w:r>
          </w:p>
        </w:tc>
        <w:tc>
          <w:tcPr>
            <w:tcW w:type="dxa" w:w="5083"/>
            <w:tcMar>
              <w:top w:w="100" w:type="dxa"/>
              <w:start w:w="100" w:type="dxa"/>
              <w:bottom w:w="100" w:type="dxa"/>
              <w:end w:w="100" w:type="dxa"/>
            </w:tcMar>
          </w:tcPr>
          <w:p>
            <w:r>
              <w:t>This research did not receive any specific grant from funding agencies in the public, commercial, or not-for-profit sectors.</w:t>
            </w:r>
          </w:p>
        </w:tc>
      </w:tr>
      <w:tr>
        <w:trPr>
          <w:cantSplit/>
        </w:trPr>
        <w:tc>
          <w:tcPr>
            <w:tcW w:type="dxa" w:w="5083"/>
            <w:tcMar>
              <w:top w:w="100" w:type="dxa"/>
              <w:start w:w="100" w:type="dxa"/>
              <w:bottom w:w="100" w:type="dxa"/>
              <w:end w:w="100" w:type="dxa"/>
            </w:tcMar>
          </w:tcPr>
          <w:p>
            <w:r>
              <w:rPr>
                <w:b/>
              </w:rPr>
              <w:t>Competing interest</w:t>
            </w:r>
          </w:p>
        </w:tc>
        <w:tc>
          <w:tcPr>
            <w:tcW w:type="dxa" w:w="5083"/>
            <w:tcMar>
              <w:top w:w="100" w:type="dxa"/>
              <w:start w:w="100" w:type="dxa"/>
              <w:bottom w:w="100" w:type="dxa"/>
              <w:end w:w="100" w:type="dxa"/>
            </w:tcMar>
          </w:tcPr>
          <w:p>
            <w:r>
              <w:t>The author declares that he has no known competing financial interests or personal relationships that could have appeared to influence the work reported in this paper.</w:t>
            </w:r>
          </w:p>
        </w:tc>
      </w:tr>
      <w:tr>
        <w:trPr>
          <w:cantSplit/>
        </w:trPr>
        <w:tc>
          <w:tcPr>
            <w:tcW w:type="dxa" w:w="5083"/>
            <w:tcMar>
              <w:top w:w="100" w:type="dxa"/>
              <w:start w:w="100" w:type="dxa"/>
              <w:bottom w:w="100" w:type="dxa"/>
              <w:end w:w="100" w:type="dxa"/>
            </w:tcMar>
          </w:tcPr>
          <w:p>
            <w:r>
              <w:rPr>
                <w:b/>
              </w:rPr>
              <w:t>Acknowledgments</w:t>
            </w:r>
          </w:p>
        </w:tc>
        <w:tc>
          <w:tcPr>
            <w:tcW w:type="dxa" w:w="5083"/>
            <w:tcMar>
              <w:top w:w="100" w:type="dxa"/>
              <w:start w:w="100" w:type="dxa"/>
              <w:bottom w:w="100" w:type="dxa"/>
              <w:end w:w="100" w:type="dxa"/>
            </w:tcMar>
          </w:tcPr>
          <w:p>
            <w:r>
              <w:t>None.</w:t>
            </w:r>
          </w:p>
        </w:tc>
      </w:tr>
      <w:tr>
        <w:trPr>
          <w:cantSplit/>
        </w:trPr>
        <w:tc>
          <w:tcPr>
            <w:tcW w:type="dxa" w:w="5083"/>
            <w:tcMar>
              <w:top w:w="100" w:type="dxa"/>
              <w:start w:w="100" w:type="dxa"/>
              <w:bottom w:w="100" w:type="dxa"/>
              <w:end w:w="100" w:type="dxa"/>
            </w:tcMar>
          </w:tcPr>
          <w:p>
            <w:r>
              <w:rPr>
                <w:b/>
              </w:rPr>
              <w:t>ICMJE statement</w:t>
            </w:r>
          </w:p>
        </w:tc>
        <w:tc>
          <w:tcPr>
            <w:tcW w:type="dxa" w:w="5083"/>
            <w:tcMar>
              <w:top w:w="100" w:type="dxa"/>
              <w:start w:w="100" w:type="dxa"/>
              <w:bottom w:w="100" w:type="dxa"/>
              <w:end w:w="100" w:type="dxa"/>
            </w:tcMar>
          </w:tcPr>
          <w:p>
            <w:r>
              <w:t>All authors attest they meet the ICMJE criteria for authorship.</w:t>
            </w:r>
          </w:p>
        </w:tc>
      </w:tr>
    </w:tbl>
    <w:p>
      <w:pPr>
        <w:pStyle w:val="Heading2"/>
      </w:pPr>
      <w:r>
        <w:t>Generative-AI disclosure in Vaccine v5.1</w:t>
      </w:r>
    </w:p>
    <w:p>
      <w:r>
        <w:t>During the preparation of this work the author used ChatGPT (OpenAI; GPT-5.6 Sol) to assist with Python-code refinement, workflow documentation, manuscript language editing, and reference-management support. After using this tool, the author reviewed and edited the content as needed, independently checked the analytical outputs and citations, and takes full responsibility for the content of the article.</w:t>
      </w:r>
    </w:p>
    <w:p>
      <w:pPr>
        <w:pStyle w:val="Heading2"/>
      </w:pPr>
      <w:r>
        <w:t>CRediT contribution statement</w:t>
      </w:r>
    </w:p>
    <w:p>
      <w:r>
        <w:t>Reuben S. Maghembe: Conceptualization, Data curation, Formal analysis, Investigation, Methodology, Project administration, Resources, Software, Validation, Visualization, Writing – original draft, Writing – review &amp; editing.</w:t>
      </w:r>
    </w:p>
    <w:p>
      <w:pPr>
        <w:pStyle w:val="Heading1"/>
      </w:pPr>
      <w:r>
        <w:t>11. Data, code, and reproducibility locations</w:t>
      </w:r>
    </w:p>
    <w:p>
      <w:r>
        <w:rPr>
          <w:b/>
        </w:rPr>
        <w:t xml:space="preserve">Source dataset (Zenodo): </w:t>
      </w:r>
      <w:hyperlink r:id="rId11">
        <w:r>
          <w:rPr>
            <w:color w:val="0563C1"/>
            <w:u w:val="single"/>
          </w:rPr>
          <w:t>https://doi.org/10.5281/zenodo.14848069</w:t>
        </w:r>
      </w:hyperlink>
    </w:p>
    <w:p>
      <w:r>
        <w:rPr>
          <w:b/>
        </w:rPr>
        <w:t xml:space="preserve">GitHub repository: </w:t>
      </w:r>
      <w:hyperlink r:id="rId12">
        <w:r>
          <w:rPr>
            <w:color w:val="0563C1"/>
            <w:u w:val="single"/>
          </w:rPr>
          <w:t>https://github.com/rmaghembe1/HPV_Vaccine_Trafficome</w:t>
        </w:r>
      </w:hyperlink>
    </w:p>
    <w:p>
      <w:r>
        <w:rPr>
          <w:b/>
        </w:rPr>
        <w:t xml:space="preserve">Fiji release: </w:t>
      </w:r>
      <w:hyperlink r:id="rId13">
        <w:r>
          <w:rPr>
            <w:color w:val="0563C1"/>
            <w:u w:val="single"/>
          </w:rPr>
          <w:t>https://github.com/rmaghembe1/HPV_Vaccine_Trafficome/releases/tag/v0.1.0-fiji-systems-serology</w:t>
        </w:r>
      </w:hyperlink>
    </w:p>
    <w:p>
      <w:pPr>
        <w:pStyle w:val="ListBullet"/>
        <w:spacing w:after="40"/>
      </w:pPr>
      <w:r>
        <w:t>Repository/code/data statements should remain aligned with what is actually public. Recheck links before resubmission if a long time has passed.</w:t>
      </w:r>
    </w:p>
    <w:p>
      <w:pPr>
        <w:pStyle w:val="Heading1"/>
      </w:pPr>
      <w:r>
        <w:t>12. Prior JID submission — preserve for provenance, do not continue it</w:t>
      </w:r>
    </w:p>
    <w:p>
      <w:pPr>
        <w:pStyle w:val="ListBullet"/>
        <w:spacing w:after="40"/>
      </w:pPr>
      <w:r>
        <w:t>JID manuscript ID: JID-85813.</w:t>
      </w:r>
    </w:p>
    <w:p>
      <w:pPr>
        <w:pStyle w:val="ListBullet"/>
        <w:spacing w:after="40"/>
      </w:pPr>
      <w:r>
        <w:t>Title at JID decision: “Continuous Systems-Serology States of Long-Term and Heterologous Recall Immunity After Human Papillomavirus Vaccination in Fiji.”</w:t>
      </w:r>
    </w:p>
    <w:p>
      <w:pPr>
        <w:pStyle w:val="ListBullet"/>
        <w:spacing w:after="40"/>
      </w:pPr>
      <w:r>
        <w:t>Decision received 13 Aug 2026: not selected for publication after editorial-team review; no substantive peer-review criticisms were supplied in the decision email.</w:t>
      </w:r>
    </w:p>
    <w:p>
      <w:pPr>
        <w:pStyle w:val="ListBullet"/>
        <w:spacing w:after="40"/>
      </w:pPr>
      <w:r>
        <w:t>JID encouraged transfer to Research Connections. The user preferred direct retargeting to a more vaccinology-specific journal rather than taking that transfer.</w:t>
      </w:r>
    </w:p>
    <w:p>
      <w:pPr>
        <w:pStyle w:val="ListBullet"/>
        <w:spacing w:after="40"/>
      </w:pPr>
      <w:r>
        <w:t>Earlier JID submission questionnaire accidentally indicated NIH/CDC funding even though the manuscript has no funding. Do not carry that error into future submissions.</w:t>
      </w:r>
    </w:p>
    <w:p>
      <w:pPr>
        <w:pStyle w:val="Heading1"/>
      </w:pPr>
      <w:r>
        <w:t>13. Safe resume protocol for a future ChatGPT conversation</w:t>
      </w:r>
    </w:p>
    <w:p>
      <w:pPr>
        <w:spacing w:after="60"/>
        <w:ind w:left="0" w:firstLine="0"/>
      </w:pPr>
      <w:r>
        <w:rPr>
          <w:b/>
        </w:rPr>
        <w:t xml:space="preserve">1. </w:t>
      </w:r>
      <w:r>
        <w:t>Upload this handoff DOCX and, if needed, the latest locally stored manuscript/cover letter or submission receipt.</w:t>
      </w:r>
    </w:p>
    <w:p>
      <w:pPr>
        <w:spacing w:after="60"/>
        <w:ind w:left="0" w:firstLine="0"/>
      </w:pPr>
      <w:r>
        <w:rPr>
          <w:b/>
        </w:rPr>
        <w:t xml:space="preserve">2. </w:t>
      </w:r>
      <w:r>
        <w:t>State that the local filesystem is authoritative. Ask the assistant to verify current file hashes and Git status before editing.</w:t>
      </w:r>
    </w:p>
    <w:p>
      <w:pPr>
        <w:spacing w:after="60"/>
        <w:ind w:left="0" w:firstLine="0"/>
      </w:pPr>
      <w:r>
        <w:rPr>
          <w:b/>
        </w:rPr>
        <w:t xml:space="preserve">3. </w:t>
      </w:r>
      <w:r>
        <w:t>Check the current Vaccine submission status first: draft, submitted, under review, revision, rejected, transferred, or accepted. Do not assume the 18 Aug 2026 portal state still applies.</w:t>
      </w:r>
    </w:p>
    <w:p>
      <w:pPr>
        <w:spacing w:after="60"/>
        <w:ind w:left="0" w:firstLine="0"/>
      </w:pPr>
      <w:r>
        <w:rPr>
          <w:b/>
        </w:rPr>
        <w:t xml:space="preserve">4. </w:t>
      </w:r>
      <w:r>
        <w:t>If still pre-submission, resolve the current staged Manuscript.docx / Cover_Letter.docx discrepancy before certifying the typesetting version.</w:t>
      </w:r>
    </w:p>
    <w:p>
      <w:pPr>
        <w:spacing w:after="60"/>
        <w:ind w:left="0" w:firstLine="0"/>
      </w:pPr>
      <w:r>
        <w:rPr>
          <w:b/>
        </w:rPr>
        <w:t xml:space="preserve">5. </w:t>
      </w:r>
      <w:r>
        <w:t>If a reviewer/editor requests revisions, modify the Vaccine v5.1 lineage surgically; keep the validated results and figures fixed unless the request requires change.</w:t>
      </w:r>
    </w:p>
    <w:p>
      <w:pPr>
        <w:spacing w:after="60"/>
        <w:ind w:left="0" w:firstLine="0"/>
      </w:pPr>
      <w:r>
        <w:rPr>
          <w:b/>
        </w:rPr>
        <w:t xml:space="preserve">6. </w:t>
      </w:r>
      <w:r>
        <w:t>For any new journal, re-check current author guidelines and financial terms on the web before reformatting. Prefer no-fee subscription/hybrid routes or realistic full-waiver routes if the user remains unfunded.</w:t>
      </w:r>
    </w:p>
    <w:p>
      <w:pPr>
        <w:spacing w:after="60"/>
        <w:ind w:left="0" w:firstLine="0"/>
      </w:pPr>
      <w:r>
        <w:rPr>
          <w:b/>
        </w:rPr>
        <w:t xml:space="preserve">7. </w:t>
      </w:r>
      <w:r>
        <w:t>Preserve the core scientific guardrails: no efficacy claim, no correlate-of-protection claim, no direct trafficking claim, and no intrinsic responder-class claim unsupported by the calibrated stability analysis.</w:t>
      </w:r>
    </w:p>
    <w:p>
      <w:pPr>
        <w:pStyle w:val="Heading1"/>
      </w:pPr>
      <w:r>
        <w:t>14. Useful read-only WSL checks</w:t>
      </w:r>
    </w:p>
    <w:p>
      <w:r>
        <w:rPr>
          <w:b/>
        </w:rPr>
        <w:t>Enter project</w:t>
      </w:r>
    </w:p>
    <w:p>
      <w:pPr>
        <w:pStyle w:val="CodeSmall"/>
      </w:pPr>
      <w:r>
        <w:t>cd "/mnt/d/HPV_Vaccine_Trafficome_Project_PRISTINE"</w:t>
      </w:r>
    </w:p>
    <w:p>
      <w:r>
        <w:rPr>
          <w:b/>
        </w:rPr>
        <w:t>Inspect submission files</w:t>
      </w:r>
    </w:p>
    <w:p>
      <w:pPr>
        <w:pStyle w:val="CodeSmall"/>
      </w:pPr>
      <w:r>
        <w:t>find "11_manuscript/Vaccine_submission_2026-08-15/UPLOAD_READY" -maxdepth 1 -type f -printf '%f\t%s bytes\n' | sort</w:t>
      </w:r>
    </w:p>
    <w:p>
      <w:r>
        <w:rPr>
          <w:b/>
        </w:rPr>
        <w:t>Hash staged DOCX files</w:t>
      </w:r>
    </w:p>
    <w:p>
      <w:pPr>
        <w:pStyle w:val="CodeSmall"/>
      </w:pPr>
      <w:r>
        <w:t>sha256sum "11_manuscript/Vaccine_submission_2026-08-15/UPLOAD_READY/Manuscript.docx" "11_manuscript/Vaccine_submission_2026-08-15/UPLOAD_READY/Cover_Letter.docx" "11_manuscript/Vaccine_submission_2026-08-15/UPLOAD_READY/Abstract.docx" "11_manuscript/Vaccine_submission_2026-08-15/UPLOAD_READY/Title_Page_Clean.docx"</w:t>
      </w:r>
    </w:p>
    <w:p>
      <w:r>
        <w:rPr>
          <w:b/>
        </w:rPr>
        <w:t>Git state</w:t>
      </w:r>
    </w:p>
    <w:p>
      <w:pPr>
        <w:pStyle w:val="CodeSmall"/>
      </w:pPr>
      <w:r>
        <w:t>git status --short</w:t>
      </w:r>
    </w:p>
    <w:p>
      <w:pPr>
        <w:pStyle w:val="Heading1"/>
      </w:pPr>
      <w:r>
        <w:t>15. Handoff completeness checklist</w:t>
      </w:r>
    </w:p>
    <w:p>
      <w:pPr>
        <w:pStyle w:val="ListBullet"/>
        <w:spacing w:after="40"/>
      </w:pPr>
      <w:r>
        <w:t>Current scientific question and interpretation guardrails preserved.</w:t>
      </w:r>
    </w:p>
    <w:p>
      <w:pPr>
        <w:pStyle w:val="ListBullet"/>
        <w:spacing w:after="40"/>
      </w:pPr>
      <w:r>
        <w:t>Key cohort, methods, numerical findings, and clustering/PCA interpretation preserved.</w:t>
      </w:r>
    </w:p>
    <w:p>
      <w:pPr>
        <w:pStyle w:val="ListBullet"/>
        <w:spacing w:after="40"/>
      </w:pPr>
      <w:r>
        <w:t>Current Vaccine title, article type, manuscript/cover-letter lineage, and canonical hashes preserved.</w:t>
      </w:r>
    </w:p>
    <w:p>
      <w:pPr>
        <w:pStyle w:val="ListBullet"/>
        <w:spacing w:after="40"/>
      </w:pPr>
      <w:r>
        <w:t>Figure and supplementary-material identities/hashes preserved.</w:t>
      </w:r>
    </w:p>
    <w:p>
      <w:pPr>
        <w:pStyle w:val="ListBullet"/>
        <w:spacing w:after="40"/>
      </w:pPr>
      <w:r>
        <w:t>Vaccine submission-folder path and latest observed 16-file state preserved.</w:t>
      </w:r>
    </w:p>
    <w:p>
      <w:pPr>
        <w:pStyle w:val="ListBullet"/>
        <w:spacing w:after="40"/>
      </w:pPr>
      <w:r>
        <w:t>Known staging discrepancy explicitly flagged for future verification.</w:t>
      </w:r>
    </w:p>
    <w:p>
      <w:pPr>
        <w:pStyle w:val="ListBullet"/>
        <w:spacing w:after="40"/>
      </w:pPr>
      <w:r>
        <w:t>Submission-system answers already chosen preserved.</w:t>
      </w:r>
    </w:p>
    <w:p>
      <w:pPr>
        <w:pStyle w:val="ListBullet"/>
        <w:spacing w:after="40"/>
      </w:pPr>
      <w:r>
        <w:t>JID rejection/transfer history preserved.</w:t>
      </w:r>
    </w:p>
    <w:p>
      <w:pPr>
        <w:pStyle w:val="ListBullet"/>
        <w:spacing w:after="40"/>
      </w:pPr>
      <w:r>
        <w:t>Data/repository links and author/declaration metadata preserved.</w:t>
      </w:r>
    </w:p>
    <w:p>
      <w:pPr>
        <w:pStyle w:val="ListBullet"/>
        <w:spacing w:after="40"/>
      </w:pPr>
      <w:r>
        <w:t>Safe resume instructions and WSL checks included.</w:t>
      </w:r>
    </w:p>
    <w:tbl>
      <w:tblPr>
        <w:tblW w:type="auto" w:w="0"/>
        <w:jc w:val="center"/>
        <w:tblLook w:firstColumn="1" w:firstRow="1" w:lastColumn="0" w:lastRow="0" w:noHBand="0" w:noVBand="1" w:val="04A0"/>
      </w:tblPr>
      <w:tblGrid>
        <w:gridCol w:w="10166"/>
      </w:tblGrid>
      <w:tr>
        <w:trPr>
          <w:cantSplit/>
        </w:trPr>
        <w:tc>
          <w:tcPr>
            <w:tcW w:type="dxa" w:w="10166"/>
            <w:shd w:fill="E2F0D9"/>
            <w:tcMar>
              <w:top w:w="140" w:type="dxa"/>
              <w:start w:w="160" w:type="dxa"/>
              <w:bottom w:w="140" w:type="dxa"/>
              <w:end w:w="160" w:type="dxa"/>
            </w:tcMar>
          </w:tcPr>
          <w:p>
            <w:r>
              <w:rPr>
                <w:b/>
                <w:color w:val="1F4E79"/>
                <w:sz w:val="22"/>
              </w:rPr>
              <w:t>Deletion safety</w:t>
              <w:br/>
            </w:r>
            <w:r>
              <w:rPr>
                <w:sz w:val="21"/>
              </w:rPr>
              <w:t>After downloading this DOCX and copying it into the local project folder, the ChatGPT project can be deleted without losing the core trajectory recorded here. The local repository/project directory and this handoff should be treated as the durable source of truth. Keep at least one independent backup of the project directory or Git repository.</w:t>
            </w:r>
          </w:p>
        </w:tc>
      </w:tr>
    </w:tbl>
    <w:p>
      <w:pPr>
        <w:spacing w:after="20"/>
      </w:pP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HPV Vaccine Trafficome Project  |  Continuation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eastAsia="Aptos Display"/>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4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281/zenodo.14848069" TargetMode="External"/><Relationship Id="rId12" Type="http://schemas.openxmlformats.org/officeDocument/2006/relationships/hyperlink" Target="https://github.com/rmaghembe1/HPV_Vaccine_Trafficome" TargetMode="External"/><Relationship Id="rId13" Type="http://schemas.openxmlformats.org/officeDocument/2006/relationships/hyperlink" Target="https://github.com/rmaghembe1/HPV_Vaccine_Trafficome/releases/tag/v0.1.0-fiji-systems-ser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HPV Vaccine Trafficome Project Continuation Handoff</dc:title>
  <dc:subject>Project continuation and submission handoff before ChatGPT project deletion</dc:subject>
  <dc:creator>OpenAI / prepared for Reuben S. Maghembe</dc:creator>
  <cp:keywords/>
  <dc:description>generated by python-docx</dc:description>
  <cp:lastModifiedBy/>
  <cp:revision>1</cp:revision>
  <dcterms:created xsi:type="dcterms:W3CDTF">2013-12-23T23:15:00Z</dcterms:created>
  <dcterms:modified xsi:type="dcterms:W3CDTF">2013-12-23T23:15:00Z</dcterms:modified>
  <cp:category/>
</cp:coreProperties>
</file>