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line="480" w:lineRule="auto"/>
        <w:jc w:val="center"/>
      </w:pPr>
      <w:r>
        <w:rPr>
          <w:rFonts w:ascii="Times New Roman" w:hAnsi="Times New Roman" w:eastAsia="Times New Roman" w:cs="Times New Roman"/>
          <w:b/>
          <w:sz w:val="32"/>
        </w:rPr>
        <w:t xml:space="preserve">Host endocrine-metabolic-immune remodeling across recurrent and pregnancy-associated </w:t>
      </w:r>
      <w:r>
        <w:rPr>
          <w:rFonts w:ascii="Times New Roman" w:hAnsi="Times New Roman" w:eastAsia="Times New Roman" w:cs="Times New Roman"/>
          <w:b/>
          <w:i/>
          <w:sz w:val="32"/>
        </w:rPr>
        <w:t>uropathogenic Escherichia coli</w:t>
      </w:r>
      <w:r>
        <w:rPr>
          <w:rFonts w:ascii="Times New Roman" w:hAnsi="Times New Roman" w:eastAsia="Times New Roman" w:cs="Times New Roman"/>
          <w:b/>
          <w:sz w:val="32"/>
        </w:rPr>
        <w:t xml:space="preserve"> infection</w:t>
      </w:r>
    </w:p>
    <w:p>
      <w:pPr>
        <w:spacing w:line="480" w:lineRule="auto" w:after="120"/>
        <w:jc w:val="center"/>
      </w:pPr>
      <w:r>
        <w:rPr>
          <w:rFonts w:ascii="Times New Roman" w:hAnsi="Times New Roman" w:eastAsia="Times New Roman" w:cs="Times New Roman"/>
          <w:sz w:val="24"/>
        </w:rPr>
        <w:t>Reuben S. Maghembe</w:t>
      </w:r>
      <w:r>
        <w:rPr>
          <w:rFonts w:ascii="Times New Roman" w:hAnsi="Times New Roman" w:eastAsia="Times New Roman" w:cs="Times New Roman"/>
          <w:sz w:val="24"/>
          <w:vertAlign w:val="superscript"/>
        </w:rPr>
        <w:t>a,b,c#</w:t>
      </w:r>
      <w:r>
        <w:rPr>
          <w:rFonts w:ascii="Times New Roman" w:hAnsi="Times New Roman" w:eastAsia="Times New Roman" w:cs="Times New Roman"/>
          <w:sz w:val="24"/>
        </w:rPr>
        <w:t xml:space="preserve">, </w:t>
      </w:r>
      <w:r>
        <w:rPr>
          <w:rFonts w:ascii="Times New Roman" w:hAnsi="Times New Roman" w:eastAsia="Times New Roman" w:cs="Times New Roman"/>
          <w:sz w:val="24"/>
        </w:rPr>
        <w:t>Samweli Bahati</w:t>
      </w:r>
      <w:r>
        <w:rPr>
          <w:rFonts w:ascii="Times New Roman" w:hAnsi="Times New Roman" w:eastAsia="Times New Roman" w:cs="Times New Roman"/>
          <w:sz w:val="24"/>
          <w:vertAlign w:val="superscript"/>
        </w:rPr>
        <w:t>b</w:t>
      </w:r>
      <w:r>
        <w:rPr>
          <w:rFonts w:ascii="Times New Roman" w:hAnsi="Times New Roman" w:eastAsia="Times New Roman" w:cs="Times New Roman"/>
          <w:sz w:val="24"/>
        </w:rPr>
        <w:t xml:space="preserve">, </w:t>
      </w:r>
      <w:r>
        <w:rPr>
          <w:rFonts w:ascii="Times New Roman" w:hAnsi="Times New Roman" w:eastAsia="Times New Roman" w:cs="Times New Roman"/>
          <w:sz w:val="24"/>
        </w:rPr>
        <w:t>Abdalah Makaranga</w:t>
      </w:r>
      <w:r>
        <w:rPr>
          <w:rFonts w:ascii="Times New Roman" w:hAnsi="Times New Roman" w:eastAsia="Times New Roman" w:cs="Times New Roman"/>
          <w:sz w:val="24"/>
          <w:vertAlign w:val="superscript"/>
        </w:rPr>
        <w:t>b,c</w:t>
      </w:r>
      <w:r>
        <w:rPr>
          <w:rFonts w:ascii="Times New Roman" w:hAnsi="Times New Roman" w:eastAsia="Times New Roman" w:cs="Times New Roman"/>
          <w:sz w:val="24"/>
        </w:rPr>
        <w:t xml:space="preserve">, </w:t>
      </w:r>
      <w:r>
        <w:rPr>
          <w:rFonts w:ascii="Times New Roman" w:hAnsi="Times New Roman" w:eastAsia="Times New Roman" w:cs="Times New Roman"/>
          <w:sz w:val="24"/>
        </w:rPr>
        <w:t>Maximilian A.K. Magulye</w:t>
      </w:r>
      <w:r>
        <w:rPr>
          <w:rFonts w:ascii="Times New Roman" w:hAnsi="Times New Roman" w:eastAsia="Times New Roman" w:cs="Times New Roman"/>
          <w:sz w:val="24"/>
          <w:vertAlign w:val="superscript"/>
        </w:rPr>
        <w:t>d</w:t>
      </w:r>
      <w:r>
        <w:rPr>
          <w:rFonts w:ascii="Times New Roman" w:hAnsi="Times New Roman" w:eastAsia="Times New Roman" w:cs="Times New Roman"/>
          <w:sz w:val="24"/>
        </w:rPr>
        <w:t xml:space="preserve">, </w:t>
      </w:r>
      <w:r>
        <w:rPr>
          <w:rFonts w:ascii="Times New Roman" w:hAnsi="Times New Roman" w:eastAsia="Times New Roman" w:cs="Times New Roman"/>
          <w:sz w:val="24"/>
        </w:rPr>
        <w:t>Benson R. Kidenya</w:t>
      </w:r>
      <w:r>
        <w:rPr>
          <w:rFonts w:ascii="Times New Roman" w:hAnsi="Times New Roman" w:eastAsia="Times New Roman" w:cs="Times New Roman"/>
          <w:sz w:val="24"/>
          <w:vertAlign w:val="superscript"/>
        </w:rPr>
        <w:t>e</w:t>
      </w:r>
    </w:p>
    <w:p>
      <w:pPr>
        <w:spacing w:line="480" w:lineRule="auto" w:after="0"/>
        <w:jc w:val="left"/>
      </w:pPr>
      <w:r>
        <w:rPr>
          <w:rFonts w:ascii="Times New Roman" w:hAnsi="Times New Roman" w:eastAsia="Times New Roman" w:cs="Times New Roman"/>
          <w:sz w:val="24"/>
          <w:vertAlign w:val="superscript"/>
        </w:rPr>
        <w:t>a</w:t>
      </w:r>
      <w:r>
        <w:rPr>
          <w:rFonts w:ascii="Times New Roman" w:hAnsi="Times New Roman" w:eastAsia="Times New Roman" w:cs="Times New Roman"/>
          <w:sz w:val="24"/>
        </w:rPr>
        <w:t>Department of Microbiology and Parasitology, Faculty of Medicine, St. Francis University College of Health and Allied Sciences, Ifakara, Tanzania</w:t>
      </w:r>
    </w:p>
    <w:p>
      <w:pPr>
        <w:spacing w:line="480" w:lineRule="auto" w:after="0"/>
        <w:jc w:val="left"/>
      </w:pPr>
      <w:r>
        <w:rPr>
          <w:rFonts w:ascii="Times New Roman" w:hAnsi="Times New Roman" w:eastAsia="Times New Roman" w:cs="Times New Roman"/>
          <w:sz w:val="24"/>
          <w:vertAlign w:val="superscript"/>
        </w:rPr>
        <w:t>b</w:t>
      </w:r>
      <w:r>
        <w:rPr>
          <w:rFonts w:ascii="Times New Roman" w:hAnsi="Times New Roman" w:eastAsia="Times New Roman" w:cs="Times New Roman"/>
          <w:sz w:val="24"/>
        </w:rPr>
        <w:t>Department of Omics and Computational Biology, AfroBiomics Co. Ltd., Kivukoni, Dar es Salaam, Tanzania</w:t>
      </w:r>
    </w:p>
    <w:p>
      <w:pPr>
        <w:spacing w:line="480" w:lineRule="auto" w:after="0"/>
        <w:jc w:val="left"/>
      </w:pPr>
      <w:r>
        <w:rPr>
          <w:rFonts w:ascii="Times New Roman" w:hAnsi="Times New Roman" w:eastAsia="Times New Roman" w:cs="Times New Roman"/>
          <w:sz w:val="24"/>
          <w:vertAlign w:val="superscript"/>
        </w:rPr>
        <w:t>c</w:t>
      </w:r>
      <w:r>
        <w:rPr>
          <w:rFonts w:ascii="Times New Roman" w:hAnsi="Times New Roman" w:eastAsia="Times New Roman" w:cs="Times New Roman"/>
          <w:sz w:val="24"/>
        </w:rPr>
        <w:t>Department of Agriculture, Earth and Environmental Sciences, Mwenge Catholic University (MWECAU), Moshi, Tanzania</w:t>
      </w:r>
    </w:p>
    <w:p>
      <w:pPr>
        <w:spacing w:line="480" w:lineRule="auto" w:after="0"/>
        <w:jc w:val="left"/>
      </w:pPr>
      <w:r>
        <w:rPr>
          <w:rFonts w:ascii="Times New Roman" w:hAnsi="Times New Roman" w:eastAsia="Times New Roman" w:cs="Times New Roman"/>
          <w:sz w:val="24"/>
          <w:vertAlign w:val="superscript"/>
        </w:rPr>
        <w:t>d</w:t>
      </w:r>
      <w:r>
        <w:rPr>
          <w:rFonts w:ascii="Times New Roman" w:hAnsi="Times New Roman" w:eastAsia="Times New Roman" w:cs="Times New Roman"/>
          <w:sz w:val="24"/>
        </w:rPr>
        <w:t>Department of Pharmaceutical Microbiology, School of Pharmacy, Muhimbili University of Health and Allied Sciences, Dar es Salaam, Tanzania</w:t>
      </w:r>
    </w:p>
    <w:p>
      <w:pPr>
        <w:spacing w:line="480" w:lineRule="auto" w:after="0"/>
        <w:jc w:val="left"/>
      </w:pPr>
      <w:r>
        <w:rPr>
          <w:rFonts w:ascii="Times New Roman" w:hAnsi="Times New Roman" w:eastAsia="Times New Roman" w:cs="Times New Roman"/>
          <w:sz w:val="24"/>
          <w:vertAlign w:val="superscript"/>
        </w:rPr>
        <w:t>e</w:t>
      </w:r>
      <w:r>
        <w:rPr>
          <w:rFonts w:ascii="Times New Roman" w:hAnsi="Times New Roman" w:eastAsia="Times New Roman" w:cs="Times New Roman"/>
          <w:sz w:val="24"/>
        </w:rPr>
        <w:t>Department of Biochemistry and Molecular Biology, Catholic University of Health and Allied Sciences, Mwanza, Tanzania</w:t>
      </w:r>
    </w:p>
    <w:p>
      <w:pPr>
        <w:spacing w:line="480" w:lineRule="auto" w:after="0"/>
      </w:pPr>
      <w:r>
        <w:rPr>
          <w:rFonts w:ascii="Times New Roman" w:hAnsi="Times New Roman" w:eastAsia="Times New Roman" w:cs="Times New Roman"/>
          <w:sz w:val="24"/>
        </w:rPr>
        <w:t>#Address correspondence to Reuben S. Maghembe, rmaghembe@sfuchas.ac.tz.</w:t>
      </w:r>
    </w:p>
    <w:p>
      <w:pPr>
        <w:spacing w:line="480" w:lineRule="auto" w:after="0"/>
      </w:pPr>
      <w:r>
        <w:rPr>
          <w:rFonts w:ascii="Times New Roman" w:hAnsi="Times New Roman" w:eastAsia="Times New Roman" w:cs="Times New Roman"/>
          <w:sz w:val="24"/>
        </w:rPr>
        <w:t>Running title: Host systems remodeling in UPEC infection</w:t>
      </w:r>
    </w:p>
    <w:p>
      <w:pPr>
        <w:spacing w:line="480" w:lineRule="auto" w:after="0"/>
      </w:pPr>
      <w:r>
        <w:rPr>
          <w:rFonts w:ascii="Times New Roman" w:hAnsi="Times New Roman" w:eastAsia="Times New Roman" w:cs="Times New Roman"/>
          <w:sz w:val="24"/>
        </w:rPr>
        <w:t>Abstract word count: 195</w:t>
      </w:r>
    </w:p>
    <w:p>
      <w:pPr>
        <w:spacing w:line="480" w:lineRule="auto" w:after="0"/>
      </w:pPr>
      <w:r>
        <w:rPr>
          <w:rFonts w:ascii="Times New Roman" w:hAnsi="Times New Roman" w:eastAsia="Times New Roman" w:cs="Times New Roman"/>
          <w:sz w:val="24"/>
        </w:rPr>
        <w:t>Text word count: 4876</w:t>
      </w:r>
    </w:p>
    <w:p>
      <w:r>
        <w:br w:type="page"/>
      </w:r>
    </w:p>
    <w:p>
      <w:pPr>
        <w:pStyle w:val="Heading1"/>
        <w:keepNext/>
        <w:spacing w:before="240" w:after="0" w:line="480" w:lineRule="auto"/>
      </w:pPr>
      <w:r>
        <w:rPr>
          <w:rFonts w:ascii="Times New Roman" w:hAnsi="Times New Roman" w:eastAsia="Times New Roman" w:cs="Times New Roman"/>
          <w:b/>
          <w:sz w:val="24"/>
        </w:rPr>
        <w:t>Abstract</w:t>
      </w:r>
    </w:p>
    <w:p>
      <w:pPr>
        <w:keepNext w:val="0"/>
        <w:keepLines w:val="0"/>
        <w:spacing w:before="0" w:after="0" w:line="480" w:lineRule="auto"/>
        <w:ind w:firstLine="432"/>
        <w:jc w:val="both"/>
      </w:pPr>
      <w:r>
        <w:rPr>
          <w:rFonts w:ascii="Times New Roman" w:hAnsi="Times New Roman" w:eastAsia="Times New Roman" w:cs="Times New Roman"/>
          <w:sz w:val="24"/>
        </w:rPr>
        <w:t xml:space="preserve">Urinary tract infection emerges from interactions among microbial sensing, epithelial defense, endocrine physiology, metabolism, complement, and immune-cell composition. We integrated four public transcriptomic data sets spanning human urinary-cell sepsis (GSE112098), Gardnerella-triggered recurrent urinary tract infection in mice (GSE186800), pregnancy-associated </w:t>
      </w:r>
      <w:r>
        <w:rPr>
          <w:rFonts w:ascii="Times New Roman" w:hAnsi="Times New Roman" w:eastAsia="Times New Roman" w:cs="Times New Roman"/>
          <w:i/>
          <w:sz w:val="24"/>
        </w:rPr>
        <w:t>uropathogenic Escherichia coli</w:t>
      </w:r>
      <w:r>
        <w:rPr>
          <w:rFonts w:ascii="Times New Roman" w:hAnsi="Times New Roman" w:eastAsia="Times New Roman" w:cs="Times New Roman"/>
          <w:sz w:val="24"/>
        </w:rPr>
        <w:t xml:space="preserve"> infection across bladder, placenta, and uterus (GSE280297), and single-cell bladder immunity during </w:t>
      </w:r>
      <w:r>
        <w:rPr>
          <w:rFonts w:ascii="Times New Roman" w:hAnsi="Times New Roman" w:eastAsia="Times New Roman" w:cs="Times New Roman"/>
          <w:i/>
          <w:sz w:val="24"/>
        </w:rPr>
        <w:t>uropathogenic Escherichia coli</w:t>
      </w:r>
      <w:r>
        <w:rPr>
          <w:rFonts w:ascii="Times New Roman" w:hAnsi="Times New Roman" w:eastAsia="Times New Roman" w:cs="Times New Roman"/>
          <w:sz w:val="24"/>
        </w:rPr>
        <w:t xml:space="preserve"> infection (GSE252321). Seventy-eight submodules across ten endocrine, metabolic, complement, and immune axes were scored within each native species and tissue; cross-context synthesis combined standardized effects, recurrence, tissue coherence, and sample-aware pseudobulk localization. TLR4-LPS, leptin, and PI3K-AKT signaling formed the most consistent infection-associated core. Pregnancy-associated infection produced tissue- and outcome-specific steroid, cholesterol, complement, and inflammatory-carbon remodeling, including separation of steroid biosynthetic programs from receptor-response and metabolic-effector programs. Single-cell reconstruction retained 27,385 cells, resolving 18 clusters, six broad immune populations, and 14 refined states. Infected samples showed expanded neutrophil and macrophage/monocyte fractions, increased TNFSF9-positive macrophages, and enrichment of strict regulatory T-cell-like states; complement, endocrine, and metabolic programs localized to distinct myeloid, dendritic, and lymphoid compartments. These findings define a systems-level host architecture in which recurrent microbial sensing is reshaped by recurrence-related exposure, pregnancy, tissue compartment, and immune-cell state.</w:t>
      </w:r>
    </w:p>
    <w:p>
      <w:pPr>
        <w:pStyle w:val="Heading1"/>
        <w:keepNext/>
        <w:spacing w:before="240" w:after="0" w:line="480" w:lineRule="auto"/>
      </w:pPr>
      <w:r>
        <w:rPr>
          <w:rFonts w:ascii="Times New Roman" w:hAnsi="Times New Roman" w:eastAsia="Times New Roman" w:cs="Times New Roman"/>
          <w:b/>
          <w:sz w:val="24"/>
        </w:rPr>
        <w:t>Importance</w:t>
      </w:r>
    </w:p>
    <w:p>
      <w:pPr>
        <w:keepNext w:val="0"/>
        <w:keepLines w:val="0"/>
        <w:spacing w:before="0" w:after="0" w:line="480" w:lineRule="auto"/>
        <w:ind w:firstLine="432"/>
        <w:jc w:val="both"/>
      </w:pPr>
      <w:r>
        <w:rPr>
          <w:rFonts w:ascii="Times New Roman" w:hAnsi="Times New Roman" w:eastAsia="Times New Roman" w:cs="Times New Roman"/>
          <w:sz w:val="24"/>
        </w:rPr>
        <w:t xml:space="preserve">Urinary tract infections caused by </w:t>
      </w:r>
      <w:r>
        <w:rPr>
          <w:rFonts w:ascii="Times New Roman" w:hAnsi="Times New Roman" w:eastAsia="Times New Roman" w:cs="Times New Roman"/>
          <w:i/>
          <w:sz w:val="24"/>
        </w:rPr>
        <w:t>uropathogenic Escherichia coli</w:t>
      </w:r>
      <w:r>
        <w:rPr>
          <w:rFonts w:ascii="Times New Roman" w:hAnsi="Times New Roman" w:eastAsia="Times New Roman" w:cs="Times New Roman"/>
          <w:sz w:val="24"/>
        </w:rPr>
        <w:t xml:space="preserve"> frequently recur and can complicate pregnancy, but the host systems connecting these outcomes are usually studied separately. By integrating four transcriptomic data sets, this study identifies a recurrent host architecture linking bacterial sensing to leptin, insulin, phosphoinositide 3-kinase-AKT, complement, steroid, lipid, and carbon-metabolic programs. Pregnancy and tissue compartment reorganized this shared response, while single-cell analysis assigned its components to myeloid, dendritic, and lymphoid populations, including TNFSF9-positive macrophages and regulatory T-cell-like states. The resulting framework connects microbial recognition with endocrine physiology, immunometabolism, complement effector activity, and cell-specific immune regulation. It provides experimentally testable molecular junctions for understanding persistent infection and pregnancy-associated urinary tract disease and for developing host-directed strategies that complement antimicrobial treatment.</w:t>
      </w:r>
    </w:p>
    <w:p>
      <w:pPr>
        <w:pStyle w:val="Heading1"/>
        <w:keepNext/>
        <w:spacing w:before="240" w:after="0" w:line="480" w:lineRule="auto"/>
      </w:pPr>
      <w:r>
        <w:rPr>
          <w:rFonts w:ascii="Times New Roman" w:hAnsi="Times New Roman" w:eastAsia="Times New Roman" w:cs="Times New Roman"/>
          <w:b/>
          <w:sz w:val="24"/>
        </w:rPr>
        <w:t>Introduction</w:t>
      </w:r>
    </w:p>
    <w:p>
      <w:pPr>
        <w:keepNext w:val="0"/>
        <w:keepLines w:val="0"/>
        <w:spacing w:before="0" w:after="0" w:line="480" w:lineRule="auto"/>
        <w:ind w:firstLine="432"/>
        <w:jc w:val="both"/>
      </w:pPr>
      <w:r>
        <w:rPr>
          <w:rFonts w:ascii="Times New Roman" w:hAnsi="Times New Roman" w:eastAsia="Times New Roman" w:cs="Times New Roman"/>
          <w:sz w:val="24"/>
        </w:rPr>
        <w:t xml:space="preserve">Urinary tract infection (UTI) is among the most frequent bacterial syndromes encountered in community and hospital practice and remains a major source of antibiotic exposure, recurrent morbidity, and health-care expenditure. Global estimates indicate a rising number of UTI episodes and a disproportionate burden among women, older adults, and populations in low- and middle-resource settings (1, 2). The clinical spectrum extends from asymptomatic bacteriuria and cystitis to pyelonephritis, urosepsis, and recurrent disease, with </w:t>
      </w:r>
      <w:r>
        <w:rPr>
          <w:rFonts w:ascii="Times New Roman" w:hAnsi="Times New Roman" w:eastAsia="Times New Roman" w:cs="Times New Roman"/>
          <w:i/>
          <w:sz w:val="24"/>
        </w:rPr>
        <w:t>uropathogenic Escherichia coli</w:t>
      </w:r>
      <w:r>
        <w:rPr>
          <w:rFonts w:ascii="Times New Roman" w:hAnsi="Times New Roman" w:eastAsia="Times New Roman" w:cs="Times New Roman"/>
          <w:sz w:val="24"/>
        </w:rPr>
        <w:t xml:space="preserve"> (UPEC) accounting for most uncomplicated infections and a substantial fraction of complicated infections (3-5). Recurrent UTI carries persistent symptomatic, social, and economic costs and is increasingly complicated by antimicrobial resistance, microbiome disruption, and limited antibiotic-sparing options (6-8). Pregnancy creates an additional high-risk setting: UTI affects a substantial proportion of pregnancies, and epidemiological evidence links infection or bacteriuria to pyelonephritis, preterm delivery, and impaired fetal growth (9-12). Evidence is strongest for preterm and growth-related outcomes, whereas the inflammatory and endocrine routes connecting urinary infection with early pregnancy loss remain less mechanistically resolved. Treatment decisions also occur within a gestational-safety context, because observational evidence has associated selected antibiotic exposures with spontaneous miscarriage and reinforces the need to separate infection-related biology from treatment-related risk (13).</w:t>
      </w:r>
    </w:p>
    <w:p>
      <w:pPr>
        <w:keepNext w:val="0"/>
        <w:keepLines w:val="0"/>
        <w:spacing w:before="0" w:after="0" w:line="480" w:lineRule="auto"/>
        <w:ind w:firstLine="432"/>
        <w:jc w:val="both"/>
      </w:pPr>
      <w:r>
        <w:rPr>
          <w:rFonts w:ascii="Times New Roman" w:hAnsi="Times New Roman" w:eastAsia="Times New Roman" w:cs="Times New Roman"/>
          <w:sz w:val="24"/>
        </w:rPr>
        <w:t>The biology of UTI is initiated at a specialized mucosal interface rather than by bacterial burden alone. UPEC adheres to urothelial receptors, invades superficial cells, forms intracellular bacterial communities, adopts filamentous states that resist phagocytic clearance, and can establish quiescent intracellular reservoirs capable of reseeding infection (14-17). Human urinary mucosa expresses Toll-like receptor 4 (TLR4), and TLR4-dependent signaling promotes cytokine production and cAMP-mediated restriction of bacterial invasion (18, 19). Genetic variation in TLR4 regulation further supports a role for host sensing thresholds in disease severity (20). These epithelial and innate responses recruit neutrophils and mononuclear phagocytes, activate complement and antimicrobial programs, and remodel urothelial integrity. The same inflammatory pressure can also create tissue damage, regenerative states, or persistent niches that influence subsequent susceptibility. The presence of intracellular communities in human infection and the re-emergence of experimentally provoked reservoirs demonstrate that recurrence reflects a dynamic interaction among bacterial persistence, urothelial repair, and immune memory (21-23).</w:t>
      </w:r>
    </w:p>
    <w:p>
      <w:pPr>
        <w:keepNext w:val="0"/>
        <w:keepLines w:val="0"/>
        <w:spacing w:before="0" w:after="0" w:line="480" w:lineRule="auto"/>
        <w:ind w:firstLine="432"/>
        <w:jc w:val="both"/>
      </w:pPr>
      <w:r>
        <w:rPr>
          <w:rFonts w:ascii="Times New Roman" w:hAnsi="Times New Roman" w:eastAsia="Times New Roman" w:cs="Times New Roman"/>
          <w:sz w:val="24"/>
        </w:rPr>
        <w:t>Pregnancy superimposes profound endocrine and immunological remodeling on this host-pathogen interface. Cholesterol uptake and synthesis supply placental steroidogenesis, while progesterone, estrogens, and glucocorticoids coordinate uterine quiescence, placental function, fetal development, and maternal immune tolerance (24-26). The maternal-fetal interface is maintained by regulated macrophage, dendritic-cell, NK-cell, and T-cell states that preserve antimicrobial defense while restraining tissue-damaging inflammation; the transition toward parturition involves a controlled inflammatory shift (27). Complement participates in implantation, placental development, host defense, and labor, whereas dysregulated activation has been associated with pregnancy loss, preeclampsia, and preterm birth (28). Steroid synthesis, interconversion, transport, receptor responsiveness, lipid handling, and complement activation therefore represent separable biological layers. Infection may alter one layer without producing an equivalent response in another, creating endocrine-immune disequilibrium that would be obscured by treating steroid or complement biology as single pathways. The recent characterization of diverse maternal, placental, and fetal steroid species further emphasizes that androgen, estrogen, progesterone, and glucocorticoid branches are connected but not interchangeable (29).</w:t>
      </w:r>
    </w:p>
    <w:p>
      <w:pPr>
        <w:keepNext w:val="0"/>
        <w:keepLines w:val="0"/>
        <w:spacing w:before="0" w:after="0" w:line="480" w:lineRule="auto"/>
        <w:ind w:firstLine="432"/>
        <w:jc w:val="both"/>
      </w:pPr>
      <w:r>
        <w:rPr>
          <w:rFonts w:ascii="Times New Roman" w:hAnsi="Times New Roman" w:eastAsia="Times New Roman" w:cs="Times New Roman"/>
          <w:sz w:val="24"/>
        </w:rPr>
        <w:t>Host defense is also metabolically organized. Activated immune and epithelial cells redistribute carbon, lipid, amino-acid, nucleotide, and redox resources to support barrier repair, antimicrobial activity, cytokine production, and survival (30, 31). TLR4 signaling is intertwined with PI3K-AKT, HIF1A, NRF2, and lipid-regulatory pathways, while leptin and insulin-receptor signaling connect systemic metabolic state to innate immune function. Leptin can alter monocyte inflammatory memory, and urothelial insulin-receptor signaling directly sustains barrier genes and antimicrobial peptides that restrict UPEC (32, 33). These observations position endocrine and metabolic pathways as active determinants of urinary defense rather than passive correlates of inflammation. They also suggest that pregnancy, diabetes, adipokine tone, and tissue-specific substrate availability can reshape how the urinary tract responds to the same microbial stimulus.</w:t>
      </w:r>
    </w:p>
    <w:p>
      <w:pPr>
        <w:keepNext w:val="0"/>
        <w:keepLines w:val="0"/>
        <w:spacing w:before="0" w:after="0" w:line="480" w:lineRule="auto"/>
        <w:ind w:firstLine="432"/>
        <w:jc w:val="both"/>
      </w:pPr>
      <w:r>
        <w:rPr>
          <w:rFonts w:ascii="Times New Roman" w:hAnsi="Times New Roman" w:eastAsia="Times New Roman" w:cs="Times New Roman"/>
          <w:sz w:val="24"/>
        </w:rPr>
        <w:t>Previous studies have illuminated important components of this biology. Bandyopadhyay et al. (34) identified a urinary-cell transcriptional signature of early sepsis and demonstrated that urine can report systemic inflammatory and kidney-associated molecular responses. O'Brien et al. (35) showed that transient bladder exposure to Gardnerella activates inflammatory and epithelial-turnover pathways required for UPEC reservoir re-emergence, identifying NR4A1-dependent immediate-early signaling as part of recurrent disease. Ottinger et al. (36) developed a pregnancy-associated UPEC model in which preterm outcome was linked to excessive bladder inflammation, altered uteroplacental T-cell polarization, and lower maternal IL-10 despite similar bacterial burdens. Liu et al. (37) resolved the infected bladder at single-cell resolution and identified a protective CD137L-positive macrophage-Treg axis that restrains inflammatory injury. Together, these studies established urinary transcriptional surveillance, recurrence-triggering host responses, maternofetal immune divergence, and cell-specific regulatory circuits. Clinical management has meanwhile advanced through culture-based screening, treatment of asymptomatic bacteriuria, and targeted antibiotic therapy, which reduce pyelonephritis risk and may improve selected birth outcomes (9, 38, 12), although antimicrobial resistance and recurrence continue to motivate host-directed and antibiotic-sparing approaches (39, 5).</w:t>
      </w:r>
    </w:p>
    <w:p>
      <w:pPr>
        <w:keepNext w:val="0"/>
        <w:keepLines w:val="0"/>
        <w:spacing w:before="0" w:after="0" w:line="480" w:lineRule="auto"/>
        <w:ind w:firstLine="432"/>
        <w:jc w:val="both"/>
      </w:pPr>
      <w:r>
        <w:rPr>
          <w:rFonts w:ascii="Times New Roman" w:hAnsi="Times New Roman" w:eastAsia="Times New Roman" w:cs="Times New Roman"/>
          <w:sz w:val="24"/>
        </w:rPr>
        <w:t>The available datasets were generated to answer distinct questions and were analyzed within separate species, tissues, and experimental designs. Consequently, the shared architecture linking recurrence, pregnancy outcome, endocrine signaling, immunometabolism, complement branching, and cellular localization has remained distributed across studies. A pathway-centered analysis that preserves native experimental structure while comparing standardized effects can reveal recurrent host programs, distinguish tissue-specific endocrine and complement responses, and connect bulk signatures to the immune populations that express them. To address these interdependent questions, this study aimed to: (1) define host-response programs that recur across independent UTI-related contexts; (2) resolve how pregnancy, tissue, and birth outcome reorganize steroid, cholesterol, lipid, carbon, and complement pathways; (3) localize recurrent bulk programs to bladder immune populations and refined cell states; and (4) integrate these layers into a mechanistic model of endocrine-metabolic-immune remodeling. By combining four public transcriptomic resources, 78 biologically curated submodules, cross-context effect synthesis, and sample-aware single-cell pseudobulk analysis, this work presents a unified view of UTI host biology spanning microbial sensing, recurrence, pregnancy-associated inflammation, metabolic adaptation, and immune-cell regulation.</w:t>
      </w:r>
    </w:p>
    <w:p>
      <w:pPr>
        <w:pStyle w:val="Heading1"/>
        <w:keepNext/>
        <w:spacing w:before="240" w:after="0" w:line="480" w:lineRule="auto"/>
      </w:pPr>
      <w:r>
        <w:rPr>
          <w:rFonts w:ascii="Times New Roman" w:hAnsi="Times New Roman" w:eastAsia="Times New Roman" w:cs="Times New Roman"/>
          <w:b/>
          <w:sz w:val="24"/>
        </w:rPr>
        <w:t>Materials and Methods</w:t>
      </w:r>
    </w:p>
    <w:p>
      <w:pPr>
        <w:pStyle w:val="Heading2"/>
        <w:keepNext/>
        <w:spacing w:before="160" w:after="0" w:line="480" w:lineRule="auto"/>
      </w:pPr>
      <w:r>
        <w:rPr>
          <w:rFonts w:ascii="Times New Roman" w:hAnsi="Times New Roman" w:eastAsia="Times New Roman" w:cs="Times New Roman"/>
          <w:b/>
          <w:sz w:val="24"/>
        </w:rPr>
        <w:t>Study design and public data sources</w:t>
      </w:r>
    </w:p>
    <w:p>
      <w:pPr>
        <w:keepNext w:val="0"/>
        <w:keepLines w:val="0"/>
        <w:spacing w:before="0" w:after="0" w:line="480" w:lineRule="auto"/>
        <w:ind w:firstLine="432"/>
        <w:jc w:val="both"/>
      </w:pPr>
      <w:r>
        <w:rPr>
          <w:rFonts w:ascii="Times New Roman" w:hAnsi="Times New Roman" w:eastAsia="Times New Roman" w:cs="Times New Roman"/>
          <w:sz w:val="24"/>
        </w:rPr>
        <w:t>This study performed an integrative secondary analysis of publicly available transcriptomic data sets deposited in the NCBI Gene Expression Omnibus (GEO), a repository designed for standardized dissemination and reuse of functional genomic data (40, 41). GSE112098 contained urinary-cell transcriptomic profiles from patients with early sepsis and vascular-surgery comparators and was used as a human urinary/systemic inflammatory reference (34, 42). GSE186800 profiled whole bladders in a mouse model in which transient Gardnerella exposure activates host pathways that promote emergence of UPEC from latent reservoirs (35, 43). GSE280297 contained bladder, placenta, and uterus transcriptomes from mock/PBS, nonpregnant UPEC, preterm UPEC, and term UPEC groups in a pregnancy-associated UTI model (36, 44). GSE252321 comprised single-cell bladder immune profiles from two control and two UPEC-infected mouse samples and supported cell-resolved localization (37, 45). Each data set was analyzed independently in its native species, tissue, and experimental design; raw expression values were not pooled across studies. Dataset architecture, metadata reconciliation, and analytical roles are provided in Table S1 in the supplemental material.</w:t>
      </w:r>
    </w:p>
    <w:p>
      <w:pPr>
        <w:keepNext w:val="0"/>
        <w:keepLines w:val="0"/>
        <w:spacing w:before="0" w:after="0" w:line="480" w:lineRule="auto"/>
        <w:ind w:firstLine="432"/>
        <w:jc w:val="both"/>
      </w:pPr>
      <w:r>
        <w:rPr>
          <w:rFonts w:ascii="Times New Roman" w:hAnsi="Times New Roman" w:eastAsia="Times New Roman" w:cs="Times New Roman"/>
          <w:sz w:val="24"/>
        </w:rPr>
        <w:t>The analytical sequence followed four linked objectives: cross-context discovery of recurrent infection-associated programs, pregnancy- and tissue-specific endocrine-metabolic-complement analysis, cell-resolved localization, and integrated mechanistic synthesis. This design retained biological samples as the inferential units and used standardized module effects for between-study comparison. The human GSE112098 dataset served as a systemic urinary inflammatory comparator rather than a UTI-specific cohort.</w:t>
      </w:r>
    </w:p>
    <w:p>
      <w:pPr>
        <w:pStyle w:val="Heading2"/>
        <w:keepNext/>
        <w:spacing w:before="160" w:after="0" w:line="480" w:lineRule="auto"/>
      </w:pPr>
      <w:r>
        <w:rPr>
          <w:rFonts w:ascii="Times New Roman" w:hAnsi="Times New Roman" w:eastAsia="Times New Roman" w:cs="Times New Roman"/>
          <w:b/>
          <w:sz w:val="24"/>
        </w:rPr>
        <w:t>Expression-matrix preparation and quality control</w:t>
      </w:r>
    </w:p>
    <w:p>
      <w:pPr>
        <w:keepNext w:val="0"/>
        <w:keepLines w:val="0"/>
        <w:spacing w:before="0" w:after="0" w:line="480" w:lineRule="auto"/>
        <w:ind w:firstLine="432"/>
        <w:jc w:val="both"/>
      </w:pPr>
      <w:r>
        <w:rPr>
          <w:rFonts w:ascii="Times New Roman" w:hAnsi="Times New Roman" w:eastAsia="Times New Roman" w:cs="Times New Roman"/>
          <w:sz w:val="24"/>
        </w:rPr>
        <w:t>Dataset-specific files were inspected for matrix orientation, feature identifiers, duplicate genes, sample annotation, expression scale, and missingness. Gene identifiers were standardized to native human or mouse gene symbols, duplicated symbols were collapsed using dataset-appropriate aggregation, and samples were reconciled against GEO metadata and source-study descriptions. Count and normalized-expression inputs retained the transformation state supplied by the originating studies; no universal cross-platform normalization was imposed. Established RNA-seq and microarray principles informed matrix handling and model selection, including robust multi-array normalization, count-model dispersion estimation, precision-weighted linear modeling, and Bioconductor data structures (46-51). Analyses were implemented in Python 3.13.2 and R 4.3.3 with Bioconductor 3.18; a complete versioned environment manifest will accompany the public code release. Dataset-specific preprocessing decisions and contrast outputs are documented in Table S3.</w:t>
      </w:r>
    </w:p>
    <w:p>
      <w:pPr>
        <w:keepNext w:val="0"/>
        <w:keepLines w:val="0"/>
        <w:spacing w:before="0" w:after="0" w:line="480" w:lineRule="auto"/>
        <w:ind w:firstLine="432"/>
        <w:jc w:val="both"/>
      </w:pPr>
      <w:r>
        <w:rPr>
          <w:rFonts w:ascii="Times New Roman" w:hAnsi="Times New Roman" w:eastAsia="Times New Roman" w:cs="Times New Roman"/>
          <w:sz w:val="24"/>
        </w:rPr>
        <w:t>For the single-cell dataset, four gene-by-cell matrices were processed by biological sample. Cells failing quality-control criteria established from library complexity, detected features, and expression distributions were removed before clustering. Dimensional reduction used Uniform Manifold Approximation and Projection (UMAP), and marker-guided reconstruction followed standard single-cell analysis principles implemented in the Scanpy ecosystem (52, 53). The reconstruction retained 27,385 of 28,313 cells, resolved 18 clusters, and consolidated them into six broad immune populations and 14 refined subtypes using canonical and dataset-derived markers. Quality-control metrics, cluster markers, broad populations, and refined immune states are reported in Table S6.</w:t>
      </w:r>
    </w:p>
    <w:p>
      <w:pPr>
        <w:pStyle w:val="Heading2"/>
        <w:keepNext/>
        <w:spacing w:before="160" w:after="0" w:line="480" w:lineRule="auto"/>
      </w:pPr>
      <w:r>
        <w:rPr>
          <w:rFonts w:ascii="Times New Roman" w:hAnsi="Times New Roman" w:eastAsia="Times New Roman" w:cs="Times New Roman"/>
          <w:b/>
          <w:sz w:val="24"/>
        </w:rPr>
        <w:t>Biological module library and sample-level scoring</w:t>
      </w:r>
    </w:p>
    <w:p>
      <w:pPr>
        <w:keepNext w:val="0"/>
        <w:keepLines w:val="0"/>
        <w:spacing w:before="0" w:after="0" w:line="480" w:lineRule="auto"/>
        <w:ind w:firstLine="432"/>
        <w:jc w:val="both"/>
      </w:pPr>
      <w:r>
        <w:rPr>
          <w:rFonts w:ascii="Times New Roman" w:hAnsi="Times New Roman" w:eastAsia="Times New Roman" w:cs="Times New Roman"/>
          <w:sz w:val="24"/>
        </w:rPr>
        <w:t>To examine endocrine-metabolic-immune organization at a resolution greater than conventional pathway enrichment, we curated 78 submodules across ten biological axes: steroid-cholesterol-endocrine biology; lipid metabolism; adipokine signaling; insulin-receptor/IRS signaling; inflammatory carbon metabolism; amino-acid metabolism; nucleotide, NAD, and nitrogen metabolism; complement architecture; immune-context anchors; and catecholamine/stress-adjacent signaling. Submodules separated biosynthesis, transport, interconversion, receptor response, and effector functions where these processes have distinct biology. Thus, steroidogenesis was distinguished from androgen/testosterone synthesis, estrogen interconversion, cholesterol handling, and androgen, estrogen, or glucocorticoid receptor response; complement initiation, convertase/amplification, C3a/C5a signaling, opsonophagocytosis, terminal attack, regulation, and coagulation crosstalk were similarly represented as separate branches. The complete module definitions and biological-axis assignments are provided in Table S2.</w:t>
      </w:r>
    </w:p>
    <w:p>
      <w:pPr>
        <w:keepNext w:val="0"/>
        <w:keepLines w:val="0"/>
        <w:spacing w:before="0" w:after="0" w:line="480" w:lineRule="auto"/>
        <w:ind w:firstLine="432"/>
        <w:jc w:val="both"/>
      </w:pPr>
      <w:r>
        <w:rPr>
          <w:rFonts w:ascii="Times New Roman" w:hAnsi="Times New Roman" w:eastAsia="Times New Roman" w:cs="Times New Roman"/>
          <w:sz w:val="24"/>
        </w:rPr>
        <w:t>Within each dataset, module scores were calculated only when a sufficient proportion of the curated genes was represented. Gene-level values were standardized within the relevant matrix and aggregated to sample-level scores, preserving the sign and relative magnitude of coordinated expression. These scores estimate transcriptionally inferred metabolic pathway activity; they do not quantify metabolite concentrations, enzymatic reaction rates, or metabolic flux.</w:t>
      </w:r>
    </w:p>
    <w:p>
      <w:pPr>
        <w:pStyle w:val="Heading2"/>
        <w:keepNext/>
        <w:spacing w:before="160" w:after="0" w:line="480" w:lineRule="auto"/>
      </w:pPr>
      <w:r>
        <w:rPr>
          <w:rFonts w:ascii="Times New Roman" w:hAnsi="Times New Roman" w:eastAsia="Times New Roman" w:cs="Times New Roman"/>
          <w:b/>
          <w:sz w:val="24"/>
        </w:rPr>
        <w:t>Bulk contrasts and cross-context effect synthesis</w:t>
      </w:r>
    </w:p>
    <w:p>
      <w:pPr>
        <w:keepNext w:val="0"/>
        <w:keepLines w:val="0"/>
        <w:spacing w:before="0" w:after="0" w:line="480" w:lineRule="auto"/>
        <w:ind w:firstLine="432"/>
        <w:jc w:val="both"/>
      </w:pPr>
      <w:r>
        <w:rPr>
          <w:rFonts w:ascii="Times New Roman" w:hAnsi="Times New Roman" w:eastAsia="Times New Roman" w:cs="Times New Roman"/>
          <w:sz w:val="24"/>
        </w:rPr>
        <w:t>Dataset-specific contrasts followed the original design. GSE112098 was modeled as sepsis versus vascular-surgery comparator with age and sex adjustment. GSE186800 was evaluated using treatment- and exposure-aware factorial contrasts that captured host responses to Gardnerella challenge in the recurrent-UTI model. GSE280297 supported preterm-versus-term contrasts within bladder, placenta, and uterus; UPEC-versus-mock/PBS contrasts during pregnancy; and pregnant-versus-nonpregnant UPEC bladder contrasts. Dam identifiers were unavailable for GSE280297, so tissue samples were retained as the inferential units. GSE252321 was analyzed through sample-level composition summaries and sample-aware pseudobulk profiles. Pregnancy-, tissue-, and outcome-specific effects are provided in Table S5.</w:t>
      </w:r>
    </w:p>
    <w:p>
      <w:pPr>
        <w:keepNext w:val="0"/>
        <w:keepLines w:val="0"/>
        <w:spacing w:before="0" w:after="0" w:line="480" w:lineRule="auto"/>
        <w:ind w:firstLine="432"/>
        <w:jc w:val="both"/>
      </w:pPr>
      <w:r>
        <w:rPr>
          <w:rFonts w:ascii="Times New Roman" w:hAnsi="Times New Roman" w:eastAsia="Times New Roman" w:cs="Times New Roman"/>
          <w:sz w:val="24"/>
        </w:rPr>
        <w:t>For each eligible contrast, module effects were summarized as signed standardized differences and Hedges g where group-size correction was required (54). Multiple-testing adjustment used the Benjamini-Hochberg false-discovery-rate procedure (55). Cross-context synthesis combined effect direction, magnitude, recurrence, tissue coherence, and independent support. Weighted directional concordance represented consistency of effect sign across eligible contrasts; it was not a pooled expression estimate. Ortholog-aware interpretation was restricted to comparable pathway-level effects, and gene-level expression was not merged across species. Cross-context recurrence and directional-concordance summaries are provided in Table S4.</w:t>
      </w:r>
    </w:p>
    <w:p>
      <w:pPr>
        <w:pStyle w:val="Heading2"/>
        <w:keepNext/>
        <w:spacing w:before="160" w:after="0" w:line="480" w:lineRule="auto"/>
      </w:pPr>
      <w:r>
        <w:rPr>
          <w:rFonts w:ascii="Times New Roman" w:hAnsi="Times New Roman" w:eastAsia="Times New Roman" w:cs="Times New Roman"/>
          <w:b/>
          <w:sz w:val="24"/>
        </w:rPr>
        <w:t>Single-cell composition, state definitions, and pseudobulk localization</w:t>
      </w:r>
    </w:p>
    <w:p>
      <w:pPr>
        <w:keepNext w:val="0"/>
        <w:keepLines w:val="0"/>
        <w:spacing w:before="0" w:after="0" w:line="480" w:lineRule="auto"/>
        <w:ind w:firstLine="432"/>
        <w:jc w:val="both"/>
      </w:pPr>
      <w:r>
        <w:rPr>
          <w:rFonts w:ascii="Times New Roman" w:hAnsi="Times New Roman" w:eastAsia="Times New Roman" w:cs="Times New Roman"/>
          <w:sz w:val="24"/>
        </w:rPr>
        <w:t>Broad and refined immune labels were assigned from cluster markers and the biology reported by Liu et al. (37). Refined states included LY6C2-VCAN inflammatory monocytes, RETNLA-MRC1 reparative macrophages, CD83-CLEC10A activated dendritic cells, and MKI67-TOP2A cycling immune cells. Strict Treg-like cells required FOXP3 together with at least one supporting marker among IL2RA, CTLA4, and TNFRSF18; an expanded definition required FOXP3 or at least two supporting markers. TNFSF9-positive macrophages were defined by detectable expression, and TNFSF9-high macrophages used the prespecified pooled threshold of 2.208856.</w:t>
      </w:r>
    </w:p>
    <w:p>
      <w:pPr>
        <w:keepNext w:val="0"/>
        <w:keepLines w:val="0"/>
        <w:spacing w:before="0" w:after="0" w:line="480" w:lineRule="auto"/>
        <w:ind w:firstLine="432"/>
        <w:jc w:val="both"/>
      </w:pPr>
      <w:r>
        <w:rPr>
          <w:rFonts w:ascii="Times New Roman" w:hAnsi="Times New Roman" w:eastAsia="Times New Roman" w:cs="Times New Roman"/>
          <w:sz w:val="24"/>
        </w:rPr>
        <w:t>To preserve biological replication, cells were aggregated by biological sample and cell population before module comparison. Pseudobulk analysis reduces cell-level pseudoreplication and improves correspondence between statistical units and experimental replicates (56). Seventy-three modules were score-eligible in the single-cell layer. Cellular attribution integrated module-mean gene log2 fold change, directional coherence, and bounded support scores across broad and refined populations. With two control and two UPEC samples, the minimum attainable exact two-sided permutation P value was 0.333; the single-cell layer was therefore used primarily to locate pathway activity and describe composition across biological replicates. Broad-cell and refined-state pseudobulk localization is provided in Table S7, and complement/endocrine-metabolic cellular attribution is provided in Table S8.</w:t>
      </w:r>
    </w:p>
    <w:p>
      <w:pPr>
        <w:pStyle w:val="Heading2"/>
        <w:keepNext/>
        <w:spacing w:before="160" w:after="0" w:line="480" w:lineRule="auto"/>
      </w:pPr>
      <w:r>
        <w:rPr>
          <w:rFonts w:ascii="Times New Roman" w:hAnsi="Times New Roman" w:eastAsia="Times New Roman" w:cs="Times New Roman"/>
          <w:b/>
          <w:sz w:val="24"/>
        </w:rPr>
        <w:t>Statistical analysis, reporting, and reproducibility</w:t>
      </w:r>
    </w:p>
    <w:p>
      <w:pPr>
        <w:keepNext w:val="0"/>
        <w:keepLines w:val="0"/>
        <w:spacing w:before="0" w:after="0" w:line="480" w:lineRule="auto"/>
        <w:ind w:firstLine="432"/>
        <w:jc w:val="both"/>
      </w:pPr>
      <w:r>
        <w:rPr>
          <w:rFonts w:ascii="Times New Roman" w:hAnsi="Times New Roman" w:eastAsia="Times New Roman" w:cs="Times New Roman"/>
          <w:sz w:val="24"/>
        </w:rPr>
        <w:t>Continuous module scores were summarized by group and contrast using standardized effect sizes with direction retained. Factorial and adjusted models were applied only where supported by metadata. Tissue coherence was assessed from the consistency of signed effects across bladder, placenta, and uterus. Exact permutation logic was used for the four-sample single-cell comparisons, and cell counts were never treated as independent biological replicates. Reported metabolic findings refer throughout to transcriptionally inferred pathway activity.</w:t>
      </w:r>
    </w:p>
    <w:p>
      <w:pPr>
        <w:keepNext w:val="0"/>
        <w:keepLines w:val="0"/>
        <w:spacing w:before="0" w:after="0" w:line="480" w:lineRule="auto"/>
        <w:ind w:firstLine="432"/>
        <w:jc w:val="both"/>
      </w:pPr>
      <w:r>
        <w:rPr>
          <w:rFonts w:ascii="Times New Roman" w:hAnsi="Times New Roman" w:eastAsia="Times New Roman" w:cs="Times New Roman"/>
          <w:sz w:val="24"/>
        </w:rPr>
        <w:t>All computational steps were executed from scripted workflows in Python 3.13.2 and R 4.3.3 with Bioconductor 3.18. Bulk-expression processing and modeling followed established frameworks for normalized microarray and RNA-sequencing analysis, including RMA, limma/voom, edgeR, and DESeq2 principles where appropriate to the source matrix and design (47-51). Single-cell matrix handling and dimensionality reduction followed Scanpy and UMAP frameworks (52, 53), while Bioconductor supported structured genomic data processing (46). Source accessions, processed matrices, supplemental tables, figure-source mappings, and software manifests were retained for reproducibility. Analysis scripts and non-restricted derived outputs will be released in a public GitHub repository before manuscript submission. Panel source values and provenance are registered in Table S9; sensitivity analyses and result-to-source concordance are documented in Table S10.</w:t>
      </w:r>
    </w:p>
    <w:p>
      <w:pPr>
        <w:pStyle w:val="Heading2"/>
        <w:keepNext/>
        <w:spacing w:before="160" w:after="0" w:line="480" w:lineRule="auto"/>
      </w:pPr>
      <w:r>
        <w:rPr>
          <w:rFonts w:ascii="Times New Roman" w:hAnsi="Times New Roman" w:eastAsia="Times New Roman" w:cs="Times New Roman"/>
          <w:b/>
          <w:sz w:val="24"/>
        </w:rPr>
        <w:t>Ethics statement</w:t>
      </w:r>
    </w:p>
    <w:p>
      <w:pPr>
        <w:keepNext w:val="0"/>
        <w:keepLines w:val="0"/>
        <w:spacing w:before="0" w:after="0" w:line="480" w:lineRule="auto"/>
        <w:ind w:firstLine="432"/>
        <w:jc w:val="both"/>
      </w:pPr>
      <w:r>
        <w:rPr>
          <w:rFonts w:ascii="Times New Roman" w:hAnsi="Times New Roman" w:eastAsia="Times New Roman" w:cs="Times New Roman"/>
          <w:sz w:val="24"/>
        </w:rPr>
        <w:t>This study reanalyzed publicly available, de-identified datasets and generated no new human-participant or animal-experiment data. Ethical approvals and consent procedures for the source studies are reported in the corresponding original publications.</w:t>
      </w:r>
    </w:p>
    <w:p>
      <w:pPr>
        <w:pStyle w:val="Heading1"/>
        <w:keepNext/>
        <w:spacing w:before="240" w:after="0" w:line="480" w:lineRule="auto"/>
      </w:pPr>
      <w:r>
        <w:rPr>
          <w:rFonts w:ascii="Times New Roman" w:hAnsi="Times New Roman" w:eastAsia="Times New Roman" w:cs="Times New Roman"/>
          <w:b/>
          <w:sz w:val="24"/>
        </w:rPr>
        <w:t>Results</w:t>
      </w:r>
    </w:p>
    <w:p>
      <w:pPr>
        <w:pStyle w:val="Heading2"/>
        <w:keepNext/>
        <w:spacing w:before="160" w:after="0" w:line="480" w:lineRule="auto"/>
      </w:pPr>
      <w:r>
        <w:rPr>
          <w:rFonts w:ascii="Times New Roman" w:hAnsi="Times New Roman" w:eastAsia="Times New Roman" w:cs="Times New Roman"/>
          <w:b/>
          <w:sz w:val="24"/>
        </w:rPr>
        <w:t>A multi-context atlas resolves recurrent and context-specific host programs</w:t>
      </w:r>
    </w:p>
    <w:p>
      <w:pPr>
        <w:keepNext w:val="0"/>
        <w:keepLines w:val="0"/>
        <w:spacing w:before="0" w:after="0" w:line="480" w:lineRule="auto"/>
        <w:ind w:firstLine="432"/>
        <w:jc w:val="both"/>
      </w:pPr>
      <w:r>
        <w:rPr>
          <w:rFonts w:ascii="Times New Roman" w:hAnsi="Times New Roman" w:eastAsia="Times New Roman" w:cs="Times New Roman"/>
          <w:sz w:val="24"/>
        </w:rPr>
        <w:t>The integrated analysis comprised four studies spanning human urinary/systemic inflammation, recurrent or prior-exposure bladder biology, pregnancy-associated UTI, and single-cell bladder immunity (Fig. 1). GSE112098 contributed 73 human urinary-cell profiles, GSE186800 contributed 20 mouse bladder samples, GSE280297 contributed 60 mouse tissue samples across bladder, placenta, and uterus, and GSE252321 contributed four biological samples and 28,313 profiled cells. Seventy-eight submodules were score-eligible across ten biological axes, with 73 modules represented in the single-cell layer. Dataset architecture and module coverage are summarized in Table S1 and Table S2 in the supplemental material.</w:t>
      </w:r>
    </w:p>
    <w:p>
      <w:pPr>
        <w:keepNext w:val="0"/>
        <w:keepLines w:val="0"/>
        <w:spacing w:before="0" w:after="0" w:line="480" w:lineRule="auto"/>
        <w:ind w:firstLine="432"/>
        <w:jc w:val="both"/>
      </w:pPr>
      <w:r>
        <w:rPr>
          <w:rFonts w:ascii="Times New Roman" w:hAnsi="Times New Roman" w:eastAsia="Times New Roman" w:cs="Times New Roman"/>
          <w:sz w:val="24"/>
        </w:rPr>
        <w:t>Across independent infection-related contrasts, module effects distributed into recurrent, context-specific, and limited-support patterns. Directional synthesis identified a compact set of modules with positive effects in multiple datasets, while steroid, lipid, carbon, amino-acid, nucleotide, redox, and complement branches displayed wider variation in magnitude and direction. The four GEO accessions and all dataset-specific contrasts remained analytically separate throughout the synthesis. Dataset-specific estimates and cross-context classifications are provided in Table S3 and Table S4.</w:t>
      </w:r>
    </w:p>
    <w:p>
      <w:pPr>
        <w:pStyle w:val="Heading2"/>
        <w:keepNext/>
        <w:spacing w:before="160" w:after="0" w:line="480" w:lineRule="auto"/>
      </w:pPr>
      <w:r>
        <w:rPr>
          <w:rFonts w:ascii="Times New Roman" w:hAnsi="Times New Roman" w:eastAsia="Times New Roman" w:cs="Times New Roman"/>
          <w:b/>
          <w:sz w:val="24"/>
        </w:rPr>
        <w:t>TLR4-LPS, leptin, and PI3K-AKT form the recurrent infection-associated core</w:t>
      </w:r>
    </w:p>
    <w:p>
      <w:pPr>
        <w:keepNext w:val="0"/>
        <w:keepLines w:val="0"/>
        <w:spacing w:before="0" w:after="0" w:line="480" w:lineRule="auto"/>
        <w:ind w:firstLine="432"/>
        <w:jc w:val="both"/>
      </w:pPr>
      <w:r>
        <w:rPr>
          <w:rFonts w:ascii="Times New Roman" w:hAnsi="Times New Roman" w:eastAsia="Times New Roman" w:cs="Times New Roman"/>
          <w:sz w:val="24"/>
        </w:rPr>
        <w:t>TLR4-LPS signaling, leptin signaling, and PI3K-AKT signaling showed the most consistent positive direction across eligible infection contrasts (Fig. 2A to C). Insulin-receptor/IRS signaling, glycogen synthesis, and inflammatory-carbon modules contributed additional positive effects in selected models. In the age- and sex-adjusted human comparator, glucocorticoid response, PPAR/SREBP/LXR regulation, ferroptosis-linked lipid peroxidation, glycolysis, lactate/HIF1A inflammatory glycolysis, and AGE-RAGE signaling were higher in sepsis, whereas estrogen biosynthesis, estrogen-receptor response, testosterone conversion/aromatization, and steroid catabolism/deactivation were higher in the vascular-surgery comparator.</w:t>
      </w:r>
    </w:p>
    <w:p>
      <w:pPr>
        <w:keepNext w:val="0"/>
        <w:keepLines w:val="0"/>
        <w:spacing w:before="0" w:after="0" w:line="480" w:lineRule="auto"/>
        <w:ind w:firstLine="432"/>
        <w:jc w:val="both"/>
      </w:pPr>
      <w:r>
        <w:rPr>
          <w:rFonts w:ascii="Times New Roman" w:hAnsi="Times New Roman" w:eastAsia="Times New Roman" w:cs="Times New Roman"/>
          <w:sz w:val="24"/>
        </w:rPr>
        <w:t>The GSE186800 factorial analysis identified positive model-specific effects involving AMPK-linked regulation of insulin signaling, mTORC1 insulin output, leptin signaling, PI3K-AKT signaling, insulin-receptor/IRS signaling, sphingolipid/ceramide metabolism, and androgen-receptor signaling. Complement C3a/C5a signaling and opsonophagocytosis recurred across infection-related contexts, with fewer independent datasets contributing than for TLR4-LPS, leptin, and PI3K-AKT.</w:t>
      </w:r>
    </w:p>
    <w:p>
      <w:pPr>
        <w:pStyle w:val="Heading2"/>
        <w:keepNext/>
        <w:spacing w:before="160" w:after="0" w:line="480" w:lineRule="auto"/>
      </w:pPr>
      <w:r>
        <w:rPr>
          <w:rFonts w:ascii="Times New Roman" w:hAnsi="Times New Roman" w:eastAsia="Times New Roman" w:cs="Times New Roman"/>
          <w:b/>
          <w:sz w:val="24"/>
        </w:rPr>
        <w:t>Pregnancy-associated UTI separates endocrine synthesis, receptor response, and tissue outcome</w:t>
      </w:r>
    </w:p>
    <w:p>
      <w:pPr>
        <w:keepNext w:val="0"/>
        <w:keepLines w:val="0"/>
        <w:spacing w:before="0" w:after="0" w:line="480" w:lineRule="auto"/>
        <w:ind w:firstLine="432"/>
        <w:jc w:val="both"/>
      </w:pPr>
      <w:r>
        <w:rPr>
          <w:rFonts w:ascii="Times New Roman" w:hAnsi="Times New Roman" w:eastAsia="Times New Roman" w:cs="Times New Roman"/>
          <w:sz w:val="24"/>
        </w:rPr>
        <w:t>GSE280297 included mock/PBS, nonpregnant UPEC, preterm UPEC, and term UPEC groups distributed across bladder, placenta, and uterus (Fig. 3A). Preterm-versus-term, UPEC-versus-PBS during pregnancy, and pregnant-versus-nonpregnant bladder contrasts produced distinct tissue-specific effect profiles. No module reached broad pregnancy-wide false-discovery-rate significance across all pregnancy contrasts; tissue-resolved standardized effects nevertheless revealed coordinated branch structure. Full pregnancy-, tissue-, and outcome-specific estimates are provided in Table S5.</w:t>
      </w:r>
    </w:p>
    <w:p>
      <w:pPr>
        <w:keepNext w:val="0"/>
        <w:keepLines w:val="0"/>
        <w:spacing w:before="0" w:after="0" w:line="480" w:lineRule="auto"/>
        <w:ind w:firstLine="432"/>
        <w:jc w:val="both"/>
      </w:pPr>
      <w:r>
        <w:rPr>
          <w:rFonts w:ascii="Times New Roman" w:hAnsi="Times New Roman" w:eastAsia="Times New Roman" w:cs="Times New Roman"/>
          <w:sz w:val="24"/>
        </w:rPr>
        <w:t>In preterm-versus-term comparisons, core steroidogenesis and androgen/testosterone biosynthesis tended toward positive effects, while estrogen biosynthesis/interconversion and cholesterol-biosynthetic programs tended toward negative effects. Steroid-receptor response and downstream metabolic-effector domains were comparatively attenuated, producing separation between synthetic and response-associated modules (Fig. 3B to D and Fig. 5B to D). UPEC-versus-PBS pregnancy contrasts showed different patterns across bladder, placenta, and uterus for TLR4-LPS, leptin, PI3K-AKT, IRS, glycogen synthesis, complement, amino-acid transport, and fatty-acid synthesis (Fig. 3E). In pregnant-versus-nonpregnant bladder, amino-acid transport, androgen-receptor signaling, complement, opsonophagocytosis, glycogen synthesis, insulin-receptor/IRS, PI3K-AKT, leptin, C3a/C5a signaling, and inflammatory-carbon activity had positive effect estimates, whereas fatty-acid synthesis showed a small negative estimate (Fig. 3F).</w:t>
      </w:r>
    </w:p>
    <w:p>
      <w:pPr>
        <w:keepNext w:val="0"/>
        <w:keepLines w:val="0"/>
        <w:spacing w:before="0" w:after="0" w:line="480" w:lineRule="auto"/>
        <w:ind w:firstLine="432"/>
        <w:jc w:val="both"/>
      </w:pPr>
      <w:r>
        <w:rPr>
          <w:rFonts w:ascii="Times New Roman" w:hAnsi="Times New Roman" w:eastAsia="Times New Roman" w:cs="Times New Roman"/>
          <w:sz w:val="24"/>
        </w:rPr>
        <w:t>Complement branches were not uniformly aligned. Classical, lectin, and alternative initiation; C3 convertase/amplification; C3a/C5a signaling; opsonophagocytosis; terminal membrane-attack-complex biology; complement regulation; and coagulation crosstalk varied across tissues and pregnancy contrasts (Fig. 3G and Fig. 7A and B). C3a/C5a signaling and opsonophagocytosis displayed the broadest recurrence among the complement branches.</w:t>
      </w:r>
    </w:p>
    <w:p>
      <w:pPr>
        <w:pStyle w:val="Heading2"/>
        <w:keepNext/>
        <w:spacing w:before="160" w:after="0" w:line="480" w:lineRule="auto"/>
      </w:pPr>
      <w:r>
        <w:rPr>
          <w:rFonts w:ascii="Times New Roman" w:hAnsi="Times New Roman" w:eastAsia="Times New Roman" w:cs="Times New Roman"/>
          <w:b/>
          <w:sz w:val="24"/>
        </w:rPr>
        <w:t>Single-cell reconstruction identifies UPEC-associated myeloid expansion and regulatory states</w:t>
      </w:r>
    </w:p>
    <w:p>
      <w:pPr>
        <w:keepNext w:val="0"/>
        <w:keepLines w:val="0"/>
        <w:spacing w:before="0" w:after="0" w:line="480" w:lineRule="auto"/>
        <w:ind w:firstLine="432"/>
        <w:jc w:val="both"/>
      </w:pPr>
      <w:r>
        <w:rPr>
          <w:rFonts w:ascii="Times New Roman" w:hAnsi="Times New Roman" w:eastAsia="Times New Roman" w:cs="Times New Roman"/>
          <w:sz w:val="24"/>
        </w:rPr>
        <w:t>Of 28,313 cells in GSE252321, 27,385 passed quality control. Marker-guided reconstruction resolved 18 clusters, six broad immune populations, and 14 refined subtypes (Fig. 4A to B). Refined labels included inflammatory monocytes, reparative macrophages, activated dendritic cells, cycling immune cells, T-cell states, NK-cell states, and mast cells. Cell-quality metrics and reconstructed labels are provided in Table S6.</w:t>
      </w:r>
    </w:p>
    <w:p>
      <w:pPr>
        <w:keepNext w:val="0"/>
        <w:keepLines w:val="0"/>
        <w:spacing w:before="0" w:after="0" w:line="480" w:lineRule="auto"/>
        <w:ind w:firstLine="432"/>
        <w:jc w:val="both"/>
      </w:pPr>
      <w:r>
        <w:rPr>
          <w:rFonts w:ascii="Times New Roman" w:hAnsi="Times New Roman" w:eastAsia="Times New Roman" w:cs="Times New Roman"/>
          <w:sz w:val="24"/>
        </w:rPr>
        <w:t>Relative to controls, UPEC samples had a larger neutrophil fraction (difference, +0.210) and macrophage/monocyte fraction (+0.097). T-cell (-0.132), dendritic-cell (-0.103), cycling-immune (-0.036), NK-cell (-0.025), and mast-cell (-0.010) fractions were lower (Fig. 4C to D). Within T cells, the strict Treg-like fraction increased from 0.017 in controls to 0.083 in UPEC samples. Within macrophage/monocyte cells, the TNFSF9-positive fraction increased from 0.171 to 0.304, and the TNFSF9-high fraction increased from 0.037 to 0.080 (Fig. 4E to F).</w:t>
      </w:r>
    </w:p>
    <w:p>
      <w:pPr>
        <w:pStyle w:val="Heading2"/>
        <w:keepNext/>
        <w:spacing w:before="160" w:after="0" w:line="480" w:lineRule="auto"/>
      </w:pPr>
      <w:r>
        <w:rPr>
          <w:rFonts w:ascii="Times New Roman" w:hAnsi="Times New Roman" w:eastAsia="Times New Roman" w:cs="Times New Roman"/>
          <w:b/>
          <w:sz w:val="24"/>
        </w:rPr>
        <w:t>Recurrent modules localize to distinct myeloid, dendritic, and lymphoid compartments</w:t>
      </w:r>
    </w:p>
    <w:p>
      <w:pPr>
        <w:keepNext w:val="0"/>
        <w:keepLines w:val="0"/>
        <w:spacing w:before="0" w:after="0" w:line="480" w:lineRule="auto"/>
        <w:ind w:firstLine="432"/>
        <w:jc w:val="both"/>
      </w:pPr>
      <w:r>
        <w:rPr>
          <w:rFonts w:ascii="Times New Roman" w:hAnsi="Times New Roman" w:eastAsia="Times New Roman" w:cs="Times New Roman"/>
          <w:sz w:val="24"/>
        </w:rPr>
        <w:t>Cell-type pseudobulk scoring localized C3a/C5a signaling across broad immune populations, with strongest refined support in dendritic and cDC1-like states. Opsonophagocytosis was predominantly myeloid and had strongest refined support in activated dendritic cells (Fig. 4G and Fig. 7C and D). Glycogen synthesis was broadly positive and localized most strongly to neutrophils at the broad level and inflammatory monocytes at the refined level. IRS signaling localized most strongly to T-cell and regulatory-like T-cell compartments. Androgen-receptor signaling localized most strongly to dendritic and cDC2-like states, whereas TLR4-LPS signaling showed its strongest refined support in activated T cells. Sample-aware pseudobulk localization and cellular attribution are provided in Table S7 and Table S8.</w:t>
      </w:r>
    </w:p>
    <w:p>
      <w:pPr>
        <w:keepNext w:val="0"/>
        <w:keepLines w:val="0"/>
        <w:spacing w:before="0" w:after="0" w:line="480" w:lineRule="auto"/>
        <w:ind w:firstLine="432"/>
        <w:jc w:val="both"/>
      </w:pPr>
      <w:r>
        <w:rPr>
          <w:rFonts w:ascii="Times New Roman" w:hAnsi="Times New Roman" w:eastAsia="Times New Roman" w:cs="Times New Roman"/>
          <w:sz w:val="24"/>
        </w:rPr>
        <w:t>Endocrine and lipid modules showed cell-state-specific distributions (Fig. 5E to G). Cholesterol handling and lipid-regulatory programs varied across dendritic, macrophage/monocyte, neutrophil, lymphoid, and cycling populations. Fatty-acid synthesis had its strongest broad support in cycling immune cells and strongest refined support in regulatory/type-2-like T cells. Amino-acid transport localized most strongly to dendritic cells at the broad level and cytotoxic NK cells among refined states (Fig. 6G).</w:t>
      </w:r>
    </w:p>
    <w:p>
      <w:pPr>
        <w:pStyle w:val="Heading2"/>
        <w:keepNext/>
        <w:spacing w:before="160" w:after="0" w:line="480" w:lineRule="auto"/>
      </w:pPr>
      <w:r>
        <w:rPr>
          <w:rFonts w:ascii="Times New Roman" w:hAnsi="Times New Roman" w:eastAsia="Times New Roman" w:cs="Times New Roman"/>
          <w:b/>
          <w:sz w:val="24"/>
        </w:rPr>
        <w:t>Integrated immunometabolic and complement architecture links tissue effects to cell states</w:t>
      </w:r>
    </w:p>
    <w:p>
      <w:pPr>
        <w:keepNext w:val="0"/>
        <w:keepLines w:val="0"/>
        <w:spacing w:before="0" w:after="0" w:line="480" w:lineRule="auto"/>
        <w:ind w:firstLine="432"/>
        <w:jc w:val="both"/>
      </w:pPr>
      <w:r>
        <w:rPr>
          <w:rFonts w:ascii="Times New Roman" w:hAnsi="Times New Roman" w:eastAsia="Times New Roman" w:cs="Times New Roman"/>
          <w:sz w:val="24"/>
        </w:rPr>
        <w:t>Leptin, insulin-receptor/IRS, and PI3K-AKT effects converged with glycolysis, lactate/HIF1A signaling, glycogen synthesis, pentose-phosphate activity, gluconeogenesis, and tricarboxylic-acid-cycle modules across infection and pregnancy contexts (Fig. 6A to F). Amino-acid transport, arginine/nitric-oxide and urea-cycle biology, glutamine and tryptophan metabolism, methionine/SAM and serine/glycine/one-carbon pathways, purine and pyrimidine metabolism, NAD biology, xanthine-oxidase-linked oxidative purine catabolism, and NRF2-redox modules showed contrast-specific patterns (Fig. 6G to H).</w:t>
      </w:r>
    </w:p>
    <w:p>
      <w:pPr>
        <w:keepNext w:val="0"/>
        <w:keepLines w:val="0"/>
        <w:spacing w:before="0" w:after="0" w:line="480" w:lineRule="auto"/>
        <w:ind w:firstLine="432"/>
        <w:jc w:val="both"/>
      </w:pPr>
      <w:r>
        <w:rPr>
          <w:rFonts w:ascii="Times New Roman" w:hAnsi="Times New Roman" w:eastAsia="Times New Roman" w:cs="Times New Roman"/>
          <w:sz w:val="24"/>
        </w:rPr>
        <w:t>The complete synthesis connected UPEC/TLR4 signaling with leptin-IRS-PI3K/AKT activity, complement and opsonophagocytosis, steroid and lipid branching, carbon/nitrogen/redox remodeling, and cell-state redistribution (Fig. 8). The strongest recurrent cross-context effects were TLR4-LPS, leptin, and PI3K-AKT signaling. Pregnancy-associated effects were concentrated in tissue-specific steroid, complement, and metabolic branches, while the single-cell layer assigned these programs to expanded myeloid populations, dendritic states, activated lymphoid compartments, TNFSF9-positive macrophages, and Treg-like states. Figure-to-source traceability and sensitivity summaries are provided in Table S9 and Table S10.</w:t>
      </w:r>
    </w:p>
    <w:p>
      <w:pPr>
        <w:pStyle w:val="Heading1"/>
        <w:keepNext/>
        <w:spacing w:before="240" w:after="0" w:line="480" w:lineRule="auto"/>
      </w:pPr>
      <w:r>
        <w:rPr>
          <w:rFonts w:ascii="Times New Roman" w:hAnsi="Times New Roman" w:eastAsia="Times New Roman" w:cs="Times New Roman"/>
          <w:b/>
          <w:sz w:val="24"/>
        </w:rPr>
        <w:t>Discussion</w:t>
      </w:r>
    </w:p>
    <w:p>
      <w:pPr>
        <w:keepNext w:val="0"/>
        <w:keepLines w:val="0"/>
        <w:spacing w:before="0" w:after="0" w:line="480" w:lineRule="auto"/>
        <w:ind w:firstLine="432"/>
        <w:jc w:val="both"/>
      </w:pPr>
      <w:r>
        <w:rPr>
          <w:rFonts w:ascii="Times New Roman" w:hAnsi="Times New Roman" w:eastAsia="Times New Roman" w:cs="Times New Roman"/>
          <w:sz w:val="24"/>
        </w:rPr>
        <w:t>This study integrates four experimentally distinct transcriptomic resources into a coherent model of endocrine-metabolic-immune remodeling during UTI. The principal signal is a recurrent axis joining TLR4-LPS sensing with leptin and PI3K-AKT activity, around which insulin/IRS, carbon use, steroid and lipid pathways, complement branches, and immune-cell states are reorganized. The same infection-associated core was expressed differently in recurrent disease, systemic urinary inflammation, pregnancy, and individual immune compartments. This organization provides a biological explanation for why UTI can share recognizable inflammatory features while producing divergent outcomes such as clearance, recurrence, excessive bladder injury, systemic inflammation, or pregnancy-associated complications.</w:t>
      </w:r>
    </w:p>
    <w:p>
      <w:pPr>
        <w:keepNext w:val="0"/>
        <w:keepLines w:val="0"/>
        <w:spacing w:before="0" w:after="0" w:line="480" w:lineRule="auto"/>
        <w:ind w:firstLine="432"/>
        <w:jc w:val="both"/>
      </w:pPr>
      <w:r>
        <w:rPr>
          <w:rFonts w:ascii="Times New Roman" w:hAnsi="Times New Roman" w:eastAsia="Times New Roman" w:cs="Times New Roman"/>
          <w:sz w:val="24"/>
        </w:rPr>
        <w:t>The recurrent TLR4 signal is consistent with the central role of uroepithelial pattern recognition in bacterial restriction. Human urinary mucosa expresses TLR4 and rapidly produces IL-1beta, IL-6, and IL-8 after challenge with fimbriated UPEC, while TLR4-driven cAMP signaling can oppose bacterial invasion by altering host cytoskeletal responses (18, 19). TLR4 promoter variants have also been associated with severe UTI susceptibility, indicating that response amplitude is biologically consequential (20). The present cross-context analysis extends those receptor-proximal observations by showing that TLR4-LPS activity repeatedly aligns with leptin and PI3K-AKT programs. This configuration places microbial recognition within a broader signaling system that couples inflammatory activation to cell survival, substrate allocation, barrier maintenance, and immune differentiation.</w:t>
      </w:r>
    </w:p>
    <w:p>
      <w:pPr>
        <w:keepNext w:val="0"/>
        <w:keepLines w:val="0"/>
        <w:spacing w:before="0" w:after="0" w:line="480" w:lineRule="auto"/>
        <w:ind w:firstLine="432"/>
        <w:jc w:val="both"/>
      </w:pPr>
      <w:r>
        <w:rPr>
          <w:rFonts w:ascii="Times New Roman" w:hAnsi="Times New Roman" w:eastAsia="Times New Roman" w:cs="Times New Roman"/>
          <w:sz w:val="24"/>
        </w:rPr>
        <w:t>Leptin and insulin signaling offer particularly strong links between host metabolic state and urinary defense. Leptin can prime monocytes for enhanced secondary inflammatory responses, demonstrating that adipokine exposure can create durable changes in innate responsiveness (32). Insulin-receptor signaling in the bladder urothelium maintains tight-junction and antimicrobial-peptide programs through NF-kappaB and directly limits UPEC susceptibility (33). The recurrent leptin-PI3K-AKT signal and the cell-specific localization of IRS activity therefore suggest that UTI engages both epithelial-defense and immune-metabolic circuits. The increased IRS localization in T-cell and regulatory-like compartments may reflect metabolic support for activation and suppression within the same inflamed tissue, whereas the broad glycogen-synthesis signal in neutrophils and inflammatory monocytes is compatible with rapid substrate mobilization during innate effector responses (30, 31).</w:t>
      </w:r>
    </w:p>
    <w:p>
      <w:pPr>
        <w:keepNext w:val="0"/>
        <w:keepLines w:val="0"/>
        <w:spacing w:before="0" w:after="0" w:line="480" w:lineRule="auto"/>
        <w:ind w:firstLine="432"/>
        <w:jc w:val="both"/>
      </w:pPr>
      <w:r>
        <w:rPr>
          <w:rFonts w:ascii="Times New Roman" w:hAnsi="Times New Roman" w:eastAsia="Times New Roman" w:cs="Times New Roman"/>
          <w:sz w:val="24"/>
        </w:rPr>
        <w:t>The recurrent-disease dataset adds a temporal and ecological dimension to this model. O'Brien et al. (35) demonstrated that brief Gardnerella exposure can activate inflammatory and epithelial-turnover pathways that release UPEC from latent bladder reservoirs, with NR4A1-dependent immediate-early signaling contributing to recurrence. Intracellular communities and quiescent reservoirs have been observed in experimental systems and human cystitis, and forced epithelial turnover can reactivate persistent bacteria (14, 21, 16, 17). The present analysis shows that this recurrence-associated state also contains leptin, insulin/IRS, PI3K-AKT, sphingolipid, and androgen-receptor components. These programs may shape whether epithelial perturbation produces controlled repair or a permissive inflammatory niche. The recent demonstration of diverse urogenital microbial communities and intracellular bacterial populations in symptomatic and asymptomatic individuals further supports a model in which recurrence emerges from the interaction of latent bacteria, transient microbial exposures, urothelial turnover, and host metabolic tone (22, 23).</w:t>
      </w:r>
    </w:p>
    <w:p>
      <w:pPr>
        <w:keepNext w:val="0"/>
        <w:keepLines w:val="0"/>
        <w:spacing w:before="0" w:after="0" w:line="480" w:lineRule="auto"/>
        <w:ind w:firstLine="432"/>
        <w:jc w:val="both"/>
      </w:pPr>
      <w:r>
        <w:rPr>
          <w:rFonts w:ascii="Times New Roman" w:hAnsi="Times New Roman" w:eastAsia="Times New Roman" w:cs="Times New Roman"/>
          <w:sz w:val="24"/>
        </w:rPr>
        <w:t>Pregnancy produced the most marked reorganization of the shared host-response architecture. The separation of steroidogenesis and androgen/testosterone biosynthesis from estrogen interconversion, cholesterol biosynthesis, receptor response, and metabolic effector programs indicates that endocrine remodeling during infection is branch selective. Placental steroid biology depends on coordinated cholesterol transport, CYP and hydroxysteroid-dehydrogenase activity, maternal and fetal precursor exchange, and tissue-specific receptor signaling (24, 29). Progesterone and glucocorticoid pathways also regulate macrophage, dendritic-cell, NK-cell, and T-cell behavior at the maternal-fetal interface (25, 26). A biosynthetic increase can therefore coexist with reduced receptor-responsive transcription when precursor supply, conversion, transport, receptor abundance, or intracellular signaling is altered. This synthesis-response decoupling offers a mechanistic framework for investigating altered androgen aromatization, progesterone availability, glucocorticoid handling, and tissue-specific steroid sensitivity during UTI-associated pregnancy outcomes.</w:t>
      </w:r>
    </w:p>
    <w:p>
      <w:pPr>
        <w:keepNext w:val="0"/>
        <w:keepLines w:val="0"/>
        <w:spacing w:before="0" w:after="0" w:line="480" w:lineRule="auto"/>
        <w:ind w:firstLine="432"/>
        <w:jc w:val="both"/>
      </w:pPr>
      <w:r>
        <w:rPr>
          <w:rFonts w:ascii="Times New Roman" w:hAnsi="Times New Roman" w:eastAsia="Times New Roman" w:cs="Times New Roman"/>
          <w:sz w:val="24"/>
        </w:rPr>
        <w:t>Ottinger et al. (36) showed that preterm outcome after maternal UPEC infection was associated with excessive bladder inflammation, altered uteroplacental T-cell polarization, reduced maternal IL-10, and fetal-sex effects despite comparable bacterial burdens. Our reanalysis complements that immune phenotype by identifying coordinated steroid, complement, lipid, and carbon branches across bladder, placenta, and uterus. The results position maternal UTI as a multisite host-response disorder in which the bladder inflammatory state communicates with uteroplacental immune and endocrine physiology. Clinical evidence consistently associates UTI or bacteriuria with preterm delivery and fetal-growth outcomes (9-11). Complement dysregulation and disturbed steroid-immune signaling are also implicated across pregnancy loss and preterm birth biology (28, 26). The combined pattern suggests that adverse outcomes can arise from the balance among antimicrobial defense, tissue inflammation, endocrine responsiveness, and maternal-fetal tolerance rather than from bacterial burden alone.</w:t>
      </w:r>
    </w:p>
    <w:p>
      <w:pPr>
        <w:keepNext w:val="0"/>
        <w:keepLines w:val="0"/>
        <w:spacing w:before="0" w:after="0" w:line="480" w:lineRule="auto"/>
        <w:ind w:firstLine="432"/>
        <w:jc w:val="both"/>
      </w:pPr>
      <w:r>
        <w:rPr>
          <w:rFonts w:ascii="Times New Roman" w:hAnsi="Times New Roman" w:eastAsia="Times New Roman" w:cs="Times New Roman"/>
          <w:sz w:val="24"/>
        </w:rPr>
        <w:t>Complement behaved as a branched network rather than a single activation score. C3a/C5a signaling localized broadly, with prominent dendritic and cDC1-like support, while opsonophagocytosis was more strongly myeloid and activated-dendritic. Initiation, amplification, terminal attack, regulation, and coagulation crosstalk varied across pregnancy tissues and infection contexts. This structure accords with the dual role of complement in antimicrobial defense and pregnancy physiology: complement supports implantation and host protection, yet excessive or poorly regulated activation can injure placental tissues and promote inflammatory obstetric complications (28). The data therefore identify C3a/C5a and opsonophagocytic branches as leading points of convergence between UTI inflammation and pregnancy-associated immune remodeling. Future tissue-level proteomic measurements of complement cleavage products, regulators, and receptor occupancy can test whether the transcriptional branches correspond to local activation and effector deposition.</w:t>
      </w:r>
    </w:p>
    <w:p>
      <w:pPr>
        <w:keepNext w:val="0"/>
        <w:keepLines w:val="0"/>
        <w:spacing w:before="0" w:after="0" w:line="480" w:lineRule="auto"/>
        <w:ind w:firstLine="432"/>
        <w:jc w:val="both"/>
      </w:pPr>
      <w:r>
        <w:rPr>
          <w:rFonts w:ascii="Times New Roman" w:hAnsi="Times New Roman" w:eastAsia="Times New Roman" w:cs="Times New Roman"/>
          <w:sz w:val="24"/>
        </w:rPr>
        <w:t>The single-cell analysis clarifies how bulk remodeling is distributed across cellular populations. Liu et al. (37) identified CD137L-positive macrophages as a protective bladder population that supports Treg inhibitory function and limits UPEC-associated tissue damage. Our reconstruction reproduced increased TNFSF9-positive macrophage representation and strict Treg-like fractions in UPEC samples, while also identifying neutrophil and macrophage/monocyte expansion. These changes connect antimicrobial effector recruitment with a regulatory circuit that restrains collateral injury. The localization of androgen-receptor activity to dendritic states, IRS signaling to regulatory-like T cells, C3a/C5a signaling to dendritic compartments, and glycogen synthesis to neutrophils and inflammatory monocytes shows that endocrine and metabolic responses are distributed among complementary cellular functions. Bulk pathway changes thus arise from both altered cell abundance and transcriptional remodeling within cell states.</w:t>
      </w:r>
    </w:p>
    <w:p>
      <w:pPr>
        <w:keepNext w:val="0"/>
        <w:keepLines w:val="0"/>
        <w:spacing w:before="0" w:after="0" w:line="480" w:lineRule="auto"/>
        <w:ind w:firstLine="432"/>
        <w:jc w:val="both"/>
      </w:pPr>
      <w:r>
        <w:rPr>
          <w:rFonts w:ascii="Times New Roman" w:hAnsi="Times New Roman" w:eastAsia="Times New Roman" w:cs="Times New Roman"/>
          <w:sz w:val="24"/>
        </w:rPr>
        <w:t>The human urinary-cell comparator broadens the model beyond localized cystitis. Bandyopadhyay et al. (34) showed that urinary cells capture early sepsis-associated molecular programs and can distinguish systemic inflammation from surgical controls. In the present analysis, the human comparator contributed glucocorticoid, PPAR/SREBP/LXR, ferroptosis, glycolytic, HIF1A, and AGE-RAGE effects that were not uniformly reproduced in the mouse bladder models. These contrasts are biologically informative: severe systemic inflammation places urinary cells within endocrine stress, oxidative lipid damage, hypoxia, and altered carbon metabolism, whereas localized or recurrent UTI models emphasize different combinations of epithelial and immune signaling. The cross-study architecture therefore preserves a shared innate-metabolic core while revealing how disease severity and tissue environment redistribute downstream programs.</w:t>
      </w:r>
    </w:p>
    <w:p>
      <w:pPr>
        <w:keepNext w:val="0"/>
        <w:keepLines w:val="0"/>
        <w:spacing w:before="0" w:after="0" w:line="480" w:lineRule="auto"/>
        <w:ind w:firstLine="432"/>
        <w:jc w:val="both"/>
      </w:pPr>
      <w:r>
        <w:rPr>
          <w:rFonts w:ascii="Times New Roman" w:hAnsi="Times New Roman" w:eastAsia="Times New Roman" w:cs="Times New Roman"/>
          <w:sz w:val="24"/>
        </w:rPr>
        <w:t>This work advances the field by resolving UTI host biology at the level of interacting pathway branches rather than isolated genes or undifferentiated pathway labels. It integrates recurrence-triggering exposures, pregnancy outcome, systemic urinary inflammation, and single-cell immune states while preserving each original experimental design. The resulting model identifies concrete mechanistic junctions for experimental investigation: TLR4-leptin-PI3K/AKT coupling; insulin-dependent urothelial defense; steroid synthesis-response decoupling; complement C3a/C5a and opsonophagocytic branching; TNFSF9-positive macrophage-Treg regulation; and cell-specific carbon, lipid, and amino-acid programs. These nodes can be tested using matched transcriptomics, targeted steroidomics, lipidomics, complement proteomics, spatial profiling, and perturbation of receptor or enzyme activity. Such studies may support host-directed strategies that complement antimicrobial treatment, particularly for recurrent UTI and pregnancy-associated disease (39, 5, 57).</w:t>
      </w:r>
    </w:p>
    <w:p>
      <w:pPr>
        <w:keepNext w:val="0"/>
        <w:keepLines w:val="0"/>
        <w:spacing w:before="0" w:after="0" w:line="480" w:lineRule="auto"/>
        <w:ind w:firstLine="432"/>
        <w:jc w:val="both"/>
      </w:pPr>
      <w:r>
        <w:rPr>
          <w:rFonts w:ascii="Times New Roman" w:hAnsi="Times New Roman" w:eastAsia="Times New Roman" w:cs="Times New Roman"/>
          <w:sz w:val="24"/>
        </w:rPr>
        <w:t>Several features of the integrated design define the scope of inference. The analysis integrates heterogeneous species, tissues, platforms, and experimental designs. Standardized module effects and directional concordance were therefore used in place of pooled raw expression or a gene-level cross-species meta-analysis. GSE112098 represents urinary-cell responses during systemic sepsis and provides an inflammatory comparator rather than a UTI-specific human cohort. In GSE280297, dam identifiers were unavailable, so tissue samples were retained as inferential units and maternal clustering could not be modeled. Pregnancy-wide false-discovery-rate support was limited, making tissue coherence and effect organization central to interpretation. GSE252321 contained two control and two UPEC biological samples; cell composition and pseudobulk localization therefore describe replicated sample patterns but do not provide high-powered population inference. Metabolic modules represent transcriptionally inferred pathway activity and cannot establish metabolite abundance, enzymatic rate, or flux. Complement transcription does not directly measure cleavage, deposition, or receptor engagement. These constraints define priorities for independent human cohorts, dam-aware pregnancy designs, larger single-cell studies, and matched metabolomic, endocrine, and complement measurements.</w:t>
      </w:r>
    </w:p>
    <w:p>
      <w:pPr>
        <w:keepNext w:val="0"/>
        <w:keepLines w:val="0"/>
        <w:spacing w:before="0" w:after="0" w:line="480" w:lineRule="auto"/>
        <w:ind w:firstLine="432"/>
        <w:jc w:val="both"/>
      </w:pPr>
      <w:r>
        <w:rPr>
          <w:rFonts w:ascii="Times New Roman" w:hAnsi="Times New Roman" w:eastAsia="Times New Roman" w:cs="Times New Roman"/>
          <w:sz w:val="24"/>
        </w:rPr>
        <w:t>Taken together, across four public datasets, UTI-associated host responses converged on a TLR4-LPS, leptin, and PI3K-AKT signaling core that was remodeled by recurrence-related exposure, pregnancy, tissue compartment, and immune-cell composition. Pregnancy-associated UTI separated steroid synthesis from receptor-response and metabolic-effector programs and reorganized complement and inflammatory-carbon branches across bladder, placenta, and uterus. Single-cell localization connected these tissue effects to expanded myeloid populations, TNFSF9-positive macrophages, Treg-like states, dendritic complement programs, and lymphoid insulin/IRS signaling. The resulting endocrine-metabolic-immune atlas provides a mechanistic basis for investigating persistent UTI, host metabolic susceptibility, and pregnancy-associated complications through integrated molecular and cellular measurements.</w:t>
      </w:r>
    </w:p>
    <w:p>
      <w:pPr>
        <w:pStyle w:val="Heading1"/>
        <w:keepNext/>
        <w:spacing w:before="240" w:after="0" w:line="480" w:lineRule="auto"/>
      </w:pPr>
      <w:r>
        <w:rPr>
          <w:rFonts w:ascii="Times New Roman" w:hAnsi="Times New Roman" w:eastAsia="Times New Roman" w:cs="Times New Roman"/>
          <w:b/>
          <w:sz w:val="24"/>
        </w:rPr>
        <w:t>Data, Metadata, and Code Availability</w:t>
      </w:r>
    </w:p>
    <w:p>
      <w:pPr>
        <w:keepNext w:val="0"/>
        <w:keepLines w:val="0"/>
        <w:spacing w:before="0" w:after="0" w:line="480" w:lineRule="auto"/>
        <w:ind w:firstLine="432"/>
        <w:jc w:val="both"/>
      </w:pPr>
      <w:r>
        <w:rPr>
          <w:rFonts w:ascii="Times New Roman" w:hAnsi="Times New Roman" w:eastAsia="Times New Roman" w:cs="Times New Roman"/>
          <w:sz w:val="24"/>
        </w:rPr>
        <w:t>All primary transcriptomic data analyzed in this study are publicly available from the NCBI Gene Expression Omnibus under accession numbers GSE112098, GSE186800, GSE252321, and GSE280297 (42, 43, 45, 44). No new primary data were generated. Dataset-specific metadata, reconciled sample designs, processed matrices, the 78-submodule library, module-effect tables, cellular annotations, source-value tables, figure-provenance records, and analysis and figure-building scripts will be deposited in a public GitHub repository and archived as a versioned Zenodo release before submission. The repository URL, release tag, and DOI will be inserted here when the public release is created.</w:t>
      </w:r>
    </w:p>
    <w:p>
      <w:pPr>
        <w:pStyle w:val="Heading1"/>
        <w:keepNext/>
        <w:spacing w:before="240" w:after="0" w:line="480" w:lineRule="auto"/>
      </w:pPr>
      <w:r>
        <w:rPr>
          <w:rFonts w:ascii="Times New Roman" w:hAnsi="Times New Roman" w:eastAsia="Times New Roman" w:cs="Times New Roman"/>
          <w:b/>
          <w:sz w:val="24"/>
        </w:rPr>
        <w:t>Acknowledgments</w:t>
      </w:r>
    </w:p>
    <w:p>
      <w:pPr>
        <w:keepNext w:val="0"/>
        <w:keepLines w:val="0"/>
        <w:spacing w:before="0" w:after="0" w:line="480" w:lineRule="auto"/>
        <w:jc w:val="both"/>
      </w:pPr>
      <w:r>
        <w:rPr>
          <w:rFonts w:ascii="Times New Roman" w:hAnsi="Times New Roman" w:eastAsia="Times New Roman" w:cs="Times New Roman"/>
          <w:b/>
          <w:sz w:val="24"/>
        </w:rPr>
        <w:t xml:space="preserve">Acknowledgments. </w:t>
      </w:r>
      <w:r>
        <w:rPr>
          <w:rFonts w:ascii="Times New Roman" w:hAnsi="Times New Roman" w:eastAsia="Times New Roman" w:cs="Times New Roman"/>
          <w:sz w:val="24"/>
        </w:rPr>
        <w:t>We thank the investigators and study participants associated with the publicly available data sets that made this integrative analysis possible.</w:t>
      </w:r>
    </w:p>
    <w:p>
      <w:pPr>
        <w:keepNext w:val="0"/>
        <w:keepLines w:val="0"/>
        <w:spacing w:before="0" w:after="0" w:line="480" w:lineRule="auto"/>
        <w:jc w:val="both"/>
      </w:pPr>
      <w:r>
        <w:rPr>
          <w:rFonts w:ascii="Times New Roman" w:hAnsi="Times New Roman" w:eastAsia="Times New Roman" w:cs="Times New Roman"/>
          <w:b/>
          <w:sz w:val="24"/>
        </w:rPr>
        <w:t xml:space="preserve">Funding. </w:t>
      </w:r>
      <w:r>
        <w:rPr>
          <w:rFonts w:ascii="Times New Roman" w:hAnsi="Times New Roman" w:eastAsia="Times New Roman" w:cs="Times New Roman"/>
          <w:sz w:val="24"/>
        </w:rPr>
        <w:t>This research received no specific grant from any funding agency in the public, commercial, or not-for-profit sectors.</w:t>
      </w:r>
    </w:p>
    <w:p>
      <w:pPr>
        <w:keepNext w:val="0"/>
        <w:keepLines w:val="0"/>
        <w:spacing w:before="0" w:after="0" w:line="480" w:lineRule="auto"/>
        <w:jc w:val="both"/>
      </w:pPr>
      <w:r>
        <w:rPr>
          <w:rFonts w:ascii="Times New Roman" w:hAnsi="Times New Roman" w:eastAsia="Times New Roman" w:cs="Times New Roman"/>
          <w:b/>
          <w:sz w:val="24"/>
        </w:rPr>
        <w:t xml:space="preserve">Author contributions. </w:t>
      </w:r>
      <w:r>
        <w:rPr>
          <w:rFonts w:ascii="Times New Roman" w:hAnsi="Times New Roman" w:eastAsia="Times New Roman" w:cs="Times New Roman"/>
          <w:sz w:val="24"/>
        </w:rPr>
        <w:t>Reuben S. Maghembe: Conceptualization; Data curation; Formal analysis; Investigation; Methodology; Software; Validation; Visualization; Writing— original draft. Samweli Bahati: Data curation; Methodology; Writing— review and editing. Abdalah Makaranga: Conceptualization; Methodology; Writing— review and editing. Maximilian A.K. Magulye: Conceptualization; Writing— review and editing. Benson R. Kidenya: Writing— review and editing.</w:t>
      </w:r>
    </w:p>
    <w:p>
      <w:pPr>
        <w:pStyle w:val="Heading1"/>
        <w:keepNext/>
        <w:spacing w:before="240" w:after="0" w:line="480" w:lineRule="auto"/>
      </w:pPr>
      <w:r>
        <w:rPr>
          <w:rFonts w:ascii="Times New Roman" w:hAnsi="Times New Roman" w:eastAsia="Times New Roman" w:cs="Times New Roman"/>
          <w:b/>
          <w:sz w:val="24"/>
        </w:rPr>
        <w:t>Conflict of Interest</w:t>
      </w:r>
    </w:p>
    <w:p>
      <w:pPr>
        <w:keepNext w:val="0"/>
        <w:keepLines w:val="0"/>
        <w:spacing w:before="0" w:after="0" w:line="480" w:lineRule="auto"/>
        <w:ind w:firstLine="432"/>
        <w:jc w:val="both"/>
      </w:pPr>
      <w:r>
        <w:rPr>
          <w:rFonts w:ascii="Times New Roman" w:hAnsi="Times New Roman" w:eastAsia="Times New Roman" w:cs="Times New Roman"/>
          <w:sz w:val="24"/>
        </w:rPr>
        <w:t>The authors declare no conflict of interest.</w:t>
      </w:r>
    </w:p>
    <w:p>
      <w:pPr>
        <w:pStyle w:val="Heading1"/>
        <w:keepNext/>
        <w:spacing w:before="240" w:after="0" w:line="480" w:lineRule="auto"/>
      </w:pPr>
      <w:r>
        <w:rPr>
          <w:rFonts w:ascii="Times New Roman" w:hAnsi="Times New Roman" w:eastAsia="Times New Roman" w:cs="Times New Roman"/>
          <w:b/>
          <w:sz w:val="24"/>
        </w:rPr>
        <w:t>References</w:t>
      </w:r>
    </w:p>
    <w:p>
      <w:pPr>
        <w:keepNext w:val="0"/>
        <w:keepLines w:val="0"/>
        <w:spacing w:before="0" w:after="0" w:line="480" w:lineRule="auto"/>
        <w:ind w:left="360" w:hanging="360"/>
        <w:jc w:val="left"/>
      </w:pPr>
      <w:r>
        <w:rPr>
          <w:rFonts w:ascii="Times New Roman" w:hAnsi="Times New Roman" w:eastAsia="Times New Roman" w:cs="Times New Roman"/>
          <w:sz w:val="24"/>
        </w:rPr>
        <w:t>1. He Y, Zhao J, Wang L, Han C, Yan R, Zhu P, Qian T, Yu S, Zhu X, He W. 2025. Epidemiological trends and predictions of urinary tract infections in the Global Burden of Disease Study 2021. Sci Rep 15(1):4702. https://doi.org/10.1038/s41598-025-89240-5</w:t>
      </w:r>
    </w:p>
    <w:p>
      <w:pPr>
        <w:keepNext w:val="0"/>
        <w:keepLines w:val="0"/>
        <w:spacing w:before="0" w:after="0" w:line="480" w:lineRule="auto"/>
        <w:ind w:left="360" w:hanging="360"/>
        <w:jc w:val="left"/>
      </w:pPr>
      <w:r>
        <w:rPr>
          <w:rFonts w:ascii="Times New Roman" w:hAnsi="Times New Roman" w:eastAsia="Times New Roman" w:cs="Times New Roman"/>
          <w:sz w:val="24"/>
        </w:rPr>
        <w:t>2. Yang X, Chen H, Zheng Y, Qu Q, Chen H, Zhang F. 2022. Disease burden and long-term trends of urinary tract infections: A worldwide report. Frontiers in Public Health 10:888205. https://doi.org/10.3389/fpubh.2022.888205</w:t>
      </w:r>
    </w:p>
    <w:p>
      <w:pPr>
        <w:keepNext w:val="0"/>
        <w:keepLines w:val="0"/>
        <w:spacing w:before="0" w:after="0" w:line="480" w:lineRule="auto"/>
        <w:ind w:left="360" w:hanging="360"/>
        <w:jc w:val="left"/>
      </w:pPr>
      <w:r>
        <w:rPr>
          <w:rFonts w:ascii="Times New Roman" w:hAnsi="Times New Roman" w:eastAsia="Times New Roman" w:cs="Times New Roman"/>
          <w:sz w:val="24"/>
        </w:rPr>
        <w:t>3. Flores-Mireles AL, Walker JN, Caparon M, Hultgren SJ. 2015. Urinary tract infections: Epidemiology, mechanisms of infection and treatment options. Nat Rev Microbiol 13(5):269-284. https://doi.org/10.1038/nrmicro3432</w:t>
      </w:r>
    </w:p>
    <w:p>
      <w:pPr>
        <w:keepNext w:val="0"/>
        <w:keepLines w:val="0"/>
        <w:spacing w:before="0" w:after="0" w:line="480" w:lineRule="auto"/>
        <w:ind w:left="360" w:hanging="360"/>
        <w:jc w:val="left"/>
      </w:pPr>
      <w:r>
        <w:rPr>
          <w:rFonts w:ascii="Times New Roman" w:hAnsi="Times New Roman" w:eastAsia="Times New Roman" w:cs="Times New Roman"/>
          <w:sz w:val="24"/>
        </w:rPr>
        <w:t>4. Hooton TM. 2012. Uncomplicated urinary tract infection. N Engl J Med 366(11):1028-1037. https://doi.org/10.1056/NEJMcp1104429</w:t>
      </w:r>
    </w:p>
    <w:p>
      <w:pPr>
        <w:keepNext w:val="0"/>
        <w:keepLines w:val="0"/>
        <w:spacing w:before="0" w:after="0" w:line="480" w:lineRule="auto"/>
        <w:ind w:left="360" w:hanging="360"/>
        <w:jc w:val="left"/>
      </w:pPr>
      <w:r>
        <w:rPr>
          <w:rFonts w:ascii="Times New Roman" w:hAnsi="Times New Roman" w:eastAsia="Times New Roman" w:cs="Times New Roman"/>
          <w:sz w:val="24"/>
        </w:rPr>
        <w:t>5. Timm MR, Russell SK, Hultgren SJ. 2025. Urinary tract infections: Pathogenesis, host susceptibility and emerging therapeutics. Nat Rev Microbiol 23(2):72-86. https://doi.org/10.1038/s41579-024-01092-4</w:t>
      </w:r>
    </w:p>
    <w:p>
      <w:pPr>
        <w:keepNext w:val="0"/>
        <w:keepLines w:val="0"/>
        <w:spacing w:before="0" w:after="0" w:line="480" w:lineRule="auto"/>
        <w:ind w:left="360" w:hanging="360"/>
        <w:jc w:val="left"/>
      </w:pPr>
      <w:r>
        <w:rPr>
          <w:rFonts w:ascii="Times New Roman" w:hAnsi="Times New Roman" w:eastAsia="Times New Roman" w:cs="Times New Roman"/>
          <w:sz w:val="24"/>
        </w:rPr>
        <w:t>6. Bhuiya S, Kaushik S, Logheeswaran J, Karthika P, Prathiviraj R, Selvin J, Kiran GS. 2025. Emergence of recurrent urinary tract infection: Dissecting the mechanism of antimicrobial resistance, host-pathogen interaction, and hormonal imbalance. Microb Pathog 206:107698. https://doi.org/10.1016/j.micpath.2025.107698</w:t>
      </w:r>
    </w:p>
    <w:p>
      <w:pPr>
        <w:keepNext w:val="0"/>
        <w:keepLines w:val="0"/>
        <w:spacing w:before="0" w:after="0" w:line="480" w:lineRule="auto"/>
        <w:ind w:left="360" w:hanging="360"/>
        <w:jc w:val="left"/>
      </w:pPr>
      <w:r>
        <w:rPr>
          <w:rFonts w:ascii="Times New Roman" w:hAnsi="Times New Roman" w:eastAsia="Times New Roman" w:cs="Times New Roman"/>
          <w:sz w:val="24"/>
        </w:rPr>
        <w:t>7. Foxman B. 2014. Urinary tract infection syndromes: Occurrence, recurrence, bacteriology, risk factors, and disease burden. Infect Dis Clin North Am 28(1):1-13. https://doi.org/10.1016/j.idc.2013.09.003</w:t>
      </w:r>
    </w:p>
    <w:p>
      <w:pPr>
        <w:keepNext w:val="0"/>
        <w:keepLines w:val="0"/>
        <w:spacing w:before="0" w:after="0" w:line="480" w:lineRule="auto"/>
        <w:ind w:left="360" w:hanging="360"/>
        <w:jc w:val="left"/>
      </w:pPr>
      <w:r>
        <w:rPr>
          <w:rFonts w:ascii="Times New Roman" w:hAnsi="Times New Roman" w:eastAsia="Times New Roman" w:cs="Times New Roman"/>
          <w:sz w:val="24"/>
        </w:rPr>
        <w:t>8. Wagenlehner FME, Wullt B, Ballarini S, Zingg D, Naber KG. 2018. Social and economic burden of recurrent urinary tract infections and quality of life: A patient web-based study (GESPRIT). Expert Rev Pharmacoecon Outcomes Res 18(1):107-117. https://doi.org/10.1080/14737167.2017.1359543</w:t>
      </w:r>
    </w:p>
    <w:p>
      <w:pPr>
        <w:keepNext w:val="0"/>
        <w:keepLines w:val="0"/>
        <w:spacing w:before="0" w:after="0" w:line="480" w:lineRule="auto"/>
        <w:ind w:left="360" w:hanging="360"/>
        <w:jc w:val="left"/>
      </w:pPr>
      <w:r>
        <w:rPr>
          <w:rFonts w:ascii="Times New Roman" w:hAnsi="Times New Roman" w:eastAsia="Times New Roman" w:cs="Times New Roman"/>
          <w:sz w:val="24"/>
        </w:rPr>
        <w:t>9. American College of Obstetricians and Gynecologists. 2023. Urinary tract infections in pregnant individuals. Obstet Gynecol 142(2):435-445. https://doi.org/10.1097/AOG.0000000000005269</w:t>
      </w:r>
    </w:p>
    <w:p>
      <w:pPr>
        <w:keepNext w:val="0"/>
        <w:keepLines w:val="0"/>
        <w:spacing w:before="0" w:after="0" w:line="480" w:lineRule="auto"/>
        <w:ind w:left="360" w:hanging="360"/>
        <w:jc w:val="left"/>
      </w:pPr>
      <w:r>
        <w:rPr>
          <w:rFonts w:ascii="Times New Roman" w:hAnsi="Times New Roman" w:eastAsia="Times New Roman" w:cs="Times New Roman"/>
          <w:sz w:val="24"/>
        </w:rPr>
        <w:t>10. Salari N, Khoshbakht Y, Hemmati M, Khodayari Y, Khaleghi AA, Jafari F, Shohaimi S, Mohammadi M. 2023. Global prevalence of urinary tract infection in pregnant mothers: A systematic review and meta-analysis. Public Health 224:58-65. https://doi.org/10.1016/j.puhe.2023.08.016</w:t>
      </w:r>
    </w:p>
    <w:p>
      <w:pPr>
        <w:keepNext w:val="0"/>
        <w:keepLines w:val="0"/>
        <w:spacing w:before="0" w:after="0" w:line="480" w:lineRule="auto"/>
        <w:ind w:left="360" w:hanging="360"/>
        <w:jc w:val="left"/>
      </w:pPr>
      <w:r>
        <w:rPr>
          <w:rFonts w:ascii="Times New Roman" w:hAnsi="Times New Roman" w:eastAsia="Times New Roman" w:cs="Times New Roman"/>
          <w:sz w:val="24"/>
        </w:rPr>
        <w:t>11. Wang E, Tang P, Chen C. 2024. Urinary tract infections and risk of preterm birth: A systematic review and meta-analysis. Rev Inst Med Trop Sao Paulo 66:e54. https://doi.org/10.1590/S1678-9946202466054</w:t>
      </w:r>
    </w:p>
    <w:p>
      <w:pPr>
        <w:keepNext w:val="0"/>
        <w:keepLines w:val="0"/>
        <w:spacing w:before="0" w:after="0" w:line="480" w:lineRule="auto"/>
        <w:ind w:left="360" w:hanging="360"/>
        <w:jc w:val="left"/>
      </w:pPr>
      <w:r>
        <w:rPr>
          <w:rFonts w:ascii="Times New Roman" w:hAnsi="Times New Roman" w:eastAsia="Times New Roman" w:cs="Times New Roman"/>
          <w:sz w:val="24"/>
        </w:rPr>
        <w:t>12. Wingert A, Pillay J, Sebastianski M, Gates M, Featherstone R, Shave K, Vandermeer B, Hartling L. 2019. Asymptomatic bacteriuria in pregnancy: Systematic reviews of screening and treatment effectiveness and patient preferences. BMJ Open 9(3):e021347. https://doi.org/10.1136/bmjopen-2017-021347</w:t>
      </w:r>
    </w:p>
    <w:p>
      <w:pPr>
        <w:keepNext w:val="0"/>
        <w:keepLines w:val="0"/>
        <w:spacing w:before="0" w:after="0" w:line="480" w:lineRule="auto"/>
        <w:ind w:left="360" w:hanging="360"/>
        <w:jc w:val="left"/>
      </w:pPr>
      <w:r>
        <w:rPr>
          <w:rFonts w:ascii="Times New Roman" w:hAnsi="Times New Roman" w:eastAsia="Times New Roman" w:cs="Times New Roman"/>
          <w:sz w:val="24"/>
        </w:rPr>
        <w:t>13. Omranipoor A, Kashanian M, Dehghani M, Sadeghi M, Baradaran HR. 2020. Association of antibiotics therapy during pregnancy with spontaneous miscarriage: A systematic review and meta-analysis. Arch Gynecol Obstet 302(1):5-22. https://doi.org/10.1007/s00404-020-05569-4</w:t>
      </w:r>
    </w:p>
    <w:p>
      <w:pPr>
        <w:keepNext w:val="0"/>
        <w:keepLines w:val="0"/>
        <w:spacing w:before="0" w:after="0" w:line="480" w:lineRule="auto"/>
        <w:ind w:left="360" w:hanging="360"/>
        <w:jc w:val="left"/>
      </w:pPr>
      <w:r>
        <w:rPr>
          <w:rFonts w:ascii="Times New Roman" w:hAnsi="Times New Roman" w:eastAsia="Times New Roman" w:cs="Times New Roman"/>
          <w:sz w:val="24"/>
        </w:rPr>
        <w:t xml:space="preserve">14. Berry RE, Klumpp DJ, Schaeffer AJ. 2009. Urothelial cultures support intracellular bacterial community formation by </w:t>
      </w:r>
      <w:r>
        <w:rPr>
          <w:rFonts w:ascii="Times New Roman" w:hAnsi="Times New Roman" w:eastAsia="Times New Roman" w:cs="Times New Roman"/>
          <w:i/>
          <w:sz w:val="24"/>
        </w:rPr>
        <w:t>uropathogenic Escherichia coli</w:t>
      </w:r>
      <w:r>
        <w:rPr>
          <w:rFonts w:ascii="Times New Roman" w:hAnsi="Times New Roman" w:eastAsia="Times New Roman" w:cs="Times New Roman"/>
          <w:sz w:val="24"/>
        </w:rPr>
        <w:t>. Infect Immun 77(7):2762-2772. https://doi.org/10.1128/IAI.00323-09</w:t>
      </w:r>
    </w:p>
    <w:p>
      <w:pPr>
        <w:keepNext w:val="0"/>
        <w:keepLines w:val="0"/>
        <w:spacing w:before="0" w:after="0" w:line="480" w:lineRule="auto"/>
        <w:ind w:left="360" w:hanging="360"/>
        <w:jc w:val="left"/>
      </w:pPr>
      <w:r>
        <w:rPr>
          <w:rFonts w:ascii="Times New Roman" w:hAnsi="Times New Roman" w:eastAsia="Times New Roman" w:cs="Times New Roman"/>
          <w:sz w:val="24"/>
        </w:rPr>
        <w:t>15. Klein RD, Hultgren SJ. 2020. Urinary tract infections: Microbial pathogenesis, host-pathogen interactions and new treatment strategies. Nat Rev Microbiol 18(4):211-226. https://doi.org/10.1038/s41579-020-0324-0</w:t>
      </w:r>
    </w:p>
    <w:p>
      <w:pPr>
        <w:keepNext w:val="0"/>
        <w:keepLines w:val="0"/>
        <w:spacing w:before="0" w:after="0" w:line="480" w:lineRule="auto"/>
        <w:ind w:left="360" w:hanging="360"/>
        <w:jc w:val="left"/>
      </w:pPr>
      <w:r>
        <w:rPr>
          <w:rFonts w:ascii="Times New Roman" w:hAnsi="Times New Roman" w:eastAsia="Times New Roman" w:cs="Times New Roman"/>
          <w:sz w:val="24"/>
        </w:rPr>
        <w:t xml:space="preserve">16. Mysorekar IU, Hultgren SJ. 2006. Mechanisms of </w:t>
      </w:r>
      <w:r>
        <w:rPr>
          <w:rFonts w:ascii="Times New Roman" w:hAnsi="Times New Roman" w:eastAsia="Times New Roman" w:cs="Times New Roman"/>
          <w:i/>
          <w:sz w:val="24"/>
        </w:rPr>
        <w:t>uropathogenic Escherichia coli</w:t>
      </w:r>
      <w:r>
        <w:rPr>
          <w:rFonts w:ascii="Times New Roman" w:hAnsi="Times New Roman" w:eastAsia="Times New Roman" w:cs="Times New Roman"/>
          <w:sz w:val="24"/>
        </w:rPr>
        <w:t xml:space="preserve"> persistence and eradication from the urinary tract. Proc Natl Acad Sci U S A 103(38):14170-14175. https://doi.org/10.1073/pnas.0602136103</w:t>
      </w:r>
    </w:p>
    <w:p>
      <w:pPr>
        <w:keepNext w:val="0"/>
        <w:keepLines w:val="0"/>
        <w:spacing w:before="0" w:after="0" w:line="480" w:lineRule="auto"/>
        <w:ind w:left="360" w:hanging="360"/>
        <w:jc w:val="left"/>
      </w:pPr>
      <w:r>
        <w:rPr>
          <w:rFonts w:ascii="Times New Roman" w:hAnsi="Times New Roman" w:eastAsia="Times New Roman" w:cs="Times New Roman"/>
          <w:sz w:val="24"/>
        </w:rPr>
        <w:t>17. Rosen DA, Hooton TM, Stamm WE, Humphrey PA, Hultgren SJ. 2007. Detection of intracellular bacterial communities in human urinary tract infection. PLoS Med 4(12):e329. https://doi.org/10.1371/journal.pmed.0040329</w:t>
      </w:r>
    </w:p>
    <w:p>
      <w:pPr>
        <w:keepNext w:val="0"/>
        <w:keepLines w:val="0"/>
        <w:spacing w:before="0" w:after="0" w:line="480" w:lineRule="auto"/>
        <w:ind w:left="360" w:hanging="360"/>
        <w:jc w:val="left"/>
      </w:pPr>
      <w:r>
        <w:rPr>
          <w:rFonts w:ascii="Times New Roman" w:hAnsi="Times New Roman" w:eastAsia="Times New Roman" w:cs="Times New Roman"/>
          <w:sz w:val="24"/>
        </w:rPr>
        <w:t>18. Samuelsson P, Hang L, Wullt B, Irjala H, Svanborg C. 2004. Toll-like receptor 4 expression and cytokine responses in the human urinary tract mucosa. Infect Immun 72(6):3179-3186. https://doi.org/10.1128/IAI.72.6.3179-3186.2004</w:t>
      </w:r>
    </w:p>
    <w:p>
      <w:pPr>
        <w:keepNext w:val="0"/>
        <w:keepLines w:val="0"/>
        <w:spacing w:before="0" w:after="0" w:line="480" w:lineRule="auto"/>
        <w:ind w:left="360" w:hanging="360"/>
        <w:jc w:val="left"/>
      </w:pPr>
      <w:r>
        <w:rPr>
          <w:rFonts w:ascii="Times New Roman" w:hAnsi="Times New Roman" w:eastAsia="Times New Roman" w:cs="Times New Roman"/>
          <w:sz w:val="24"/>
        </w:rPr>
        <w:t>19. Song J, Bishop BL, Li G, Duncan MJ, Abraham SN. 2007. TLR4-initiated and cAMP-mediated abrogation of bacterial invasion of the bladder. Cell Host Microbe 1(4):287-298. https://doi.org/10.1016/j.chom.2007.05.007</w:t>
      </w:r>
    </w:p>
    <w:p>
      <w:pPr>
        <w:keepNext w:val="0"/>
        <w:keepLines w:val="0"/>
        <w:spacing w:before="0" w:after="0" w:line="480" w:lineRule="auto"/>
        <w:ind w:left="360" w:hanging="360"/>
        <w:jc w:val="left"/>
      </w:pPr>
      <w:r>
        <w:rPr>
          <w:rFonts w:ascii="Times New Roman" w:hAnsi="Times New Roman" w:eastAsia="Times New Roman" w:cs="Times New Roman"/>
          <w:sz w:val="24"/>
        </w:rPr>
        <w:t>20. Ragnarsdottir B, Jonsson K, Urbano A, Gronberg-Hernandez J, Lutay N, Tammi M, Gustafsson M, Lundstedt A, Leijonhufvud I, Karpman D, Wullt B, Truedsson L, Jodal U, Andersson B, Svanborg C. 2010. Toll-like receptor 4 promoter polymorphisms: Common TLR4 variants may protect against severe urinary tract infection. PLoS One 5(5):e10734. https://doi.org/10.1371/journal.pone.0010734</w:t>
      </w:r>
    </w:p>
    <w:p>
      <w:pPr>
        <w:keepNext w:val="0"/>
        <w:keepLines w:val="0"/>
        <w:spacing w:before="0" w:after="0" w:line="480" w:lineRule="auto"/>
        <w:ind w:left="360" w:hanging="360"/>
        <w:jc w:val="left"/>
      </w:pPr>
      <w:r>
        <w:rPr>
          <w:rFonts w:ascii="Times New Roman" w:hAnsi="Times New Roman" w:eastAsia="Times New Roman" w:cs="Times New Roman"/>
          <w:sz w:val="24"/>
        </w:rPr>
        <w:t xml:space="preserve">21. Blango MG, Ott EM, Erman A, Veranic P, Mulvey MA. 2014. Forced resurgence and targeting of intracellular </w:t>
      </w:r>
      <w:r>
        <w:rPr>
          <w:rFonts w:ascii="Times New Roman" w:hAnsi="Times New Roman" w:eastAsia="Times New Roman" w:cs="Times New Roman"/>
          <w:i/>
          <w:sz w:val="24"/>
        </w:rPr>
        <w:t>uropathogenic Escherichia coli</w:t>
      </w:r>
      <w:r>
        <w:rPr>
          <w:rFonts w:ascii="Times New Roman" w:hAnsi="Times New Roman" w:eastAsia="Times New Roman" w:cs="Times New Roman"/>
          <w:sz w:val="24"/>
        </w:rPr>
        <w:t xml:space="preserve"> reservoirs. PLoS One 9(3):e93327. https://doi.org/10.1371/journal.pone.0093327</w:t>
      </w:r>
    </w:p>
    <w:p>
      <w:pPr>
        <w:keepNext w:val="0"/>
        <w:keepLines w:val="0"/>
        <w:spacing w:before="0" w:after="0" w:line="480" w:lineRule="auto"/>
        <w:ind w:left="360" w:hanging="360"/>
        <w:jc w:val="left"/>
      </w:pPr>
      <w:r>
        <w:rPr>
          <w:rFonts w:ascii="Times New Roman" w:hAnsi="Times New Roman" w:eastAsia="Times New Roman" w:cs="Times New Roman"/>
          <w:sz w:val="24"/>
        </w:rPr>
        <w:t>22. Robino L, Sauto R, Morales C, Navarro N, Gonzalez MJ, Cruz E, Neffa F, Zeballos J, Scavone P. 2024. Presence of intracellular bacterial communities in uroepithelial cells, a potential reservoir in symptomatic and non-symptomatic people. BMC Infect Dis 24(1):590. https://doi.org/10.1186/s12879-024-09489-5</w:t>
      </w:r>
    </w:p>
    <w:p>
      <w:pPr>
        <w:keepNext w:val="0"/>
        <w:keepLines w:val="0"/>
        <w:spacing w:before="0" w:after="0" w:line="480" w:lineRule="auto"/>
        <w:ind w:left="360" w:hanging="360"/>
        <w:jc w:val="left"/>
      </w:pPr>
      <w:r>
        <w:rPr>
          <w:rFonts w:ascii="Times New Roman" w:hAnsi="Times New Roman" w:eastAsia="Times New Roman" w:cs="Times New Roman"/>
          <w:sz w:val="24"/>
        </w:rPr>
        <w:t>23. Robino L, Navarro N, Canales-Huerta N, Gonzalez MJ, Cruz E, Sauto R, Morales C, Neffa F, Zeballos J, Jessen GL, Zunino P, Scavone P. 2025. Urogenital microbiome, intracellular bacterial communities, and their contribution to urinary tract infections. Microbiol Spectr 13(11):e01247-25. https://doi.org/10.1128/spectrum.01247-25</w:t>
      </w:r>
    </w:p>
    <w:p>
      <w:pPr>
        <w:keepNext w:val="0"/>
        <w:keepLines w:val="0"/>
        <w:spacing w:before="0" w:after="0" w:line="480" w:lineRule="auto"/>
        <w:ind w:left="360" w:hanging="360"/>
        <w:jc w:val="left"/>
      </w:pPr>
      <w:r>
        <w:rPr>
          <w:rFonts w:ascii="Times New Roman" w:hAnsi="Times New Roman" w:eastAsia="Times New Roman" w:cs="Times New Roman"/>
          <w:sz w:val="24"/>
        </w:rPr>
        <w:t>24. Chatuphonprasert W, Jarukamjorn K, Ellinger I. 2018. Physiology and pathophysiology of steroid biosynthesis, transport and metabolism in the human placenta. Front Pharmacol 9:1027. https://doi.org/10.3389/fphar.2018.01027</w:t>
      </w:r>
    </w:p>
    <w:p>
      <w:pPr>
        <w:keepNext w:val="0"/>
        <w:keepLines w:val="0"/>
        <w:spacing w:before="0" w:after="0" w:line="480" w:lineRule="auto"/>
        <w:ind w:left="360" w:hanging="360"/>
        <w:jc w:val="left"/>
      </w:pPr>
      <w:r>
        <w:rPr>
          <w:rFonts w:ascii="Times New Roman" w:hAnsi="Times New Roman" w:eastAsia="Times New Roman" w:cs="Times New Roman"/>
          <w:sz w:val="24"/>
        </w:rPr>
        <w:t>25. Motomura K, Miller D, Galaz J, Liu TN, Romero R, Gomez-Lopez N. 2023. The effects of progesterone on immune cellular function at the maternal-fetal interface and in maternal circulation. J Steroid Biochem Mol Biol 229:106254. https://doi.org/10.1016/j.jsbmb.2023.106254</w:t>
      </w:r>
    </w:p>
    <w:p>
      <w:pPr>
        <w:keepNext w:val="0"/>
        <w:keepLines w:val="0"/>
        <w:spacing w:before="0" w:after="0" w:line="480" w:lineRule="auto"/>
        <w:ind w:left="360" w:hanging="360"/>
        <w:jc w:val="left"/>
      </w:pPr>
      <w:r>
        <w:rPr>
          <w:rFonts w:ascii="Times New Roman" w:hAnsi="Times New Roman" w:eastAsia="Times New Roman" w:cs="Times New Roman"/>
          <w:sz w:val="24"/>
        </w:rPr>
        <w:t>26. Solano ME, Arck PC. 2020. Steroids, pregnancy and fetal development. Front Immunol 10:3017. https://doi.org/10.3389/fimmu.2019.03017</w:t>
      </w:r>
    </w:p>
    <w:p>
      <w:pPr>
        <w:keepNext w:val="0"/>
        <w:keepLines w:val="0"/>
        <w:spacing w:before="0" w:after="0" w:line="480" w:lineRule="auto"/>
        <w:ind w:left="360" w:hanging="360"/>
        <w:jc w:val="left"/>
      </w:pPr>
      <w:r>
        <w:rPr>
          <w:rFonts w:ascii="Times New Roman" w:hAnsi="Times New Roman" w:eastAsia="Times New Roman" w:cs="Times New Roman"/>
          <w:sz w:val="24"/>
        </w:rPr>
        <w:t>27. Kareus E, Levenson D, Lee S, Gomez-Lopez N. 2026. The maternal-fetal interface as an immunological barrier: Structure, regulation, and breakdown. Cell Rep 45(4):117164. https://doi.org/10.1016/j.celrep.2026.117164</w:t>
      </w:r>
    </w:p>
    <w:p>
      <w:pPr>
        <w:keepNext w:val="0"/>
        <w:keepLines w:val="0"/>
        <w:spacing w:before="0" w:after="0" w:line="480" w:lineRule="auto"/>
        <w:ind w:left="360" w:hanging="360"/>
        <w:jc w:val="left"/>
      </w:pPr>
      <w:r>
        <w:rPr>
          <w:rFonts w:ascii="Times New Roman" w:hAnsi="Times New Roman" w:eastAsia="Times New Roman" w:cs="Times New Roman"/>
          <w:sz w:val="24"/>
        </w:rPr>
        <w:t>28. Girardi G, Lingo JJ, Fleming SD, Regal JF. 2020. Essential role of complement in pregnancy: From implantation to parturition and beyond. Front Immunol 11:1681. https://doi.org/10.3389/fimmu.2020.01681</w:t>
      </w:r>
    </w:p>
    <w:p>
      <w:pPr>
        <w:keepNext w:val="0"/>
        <w:keepLines w:val="0"/>
        <w:spacing w:before="0" w:after="0" w:line="480" w:lineRule="auto"/>
        <w:ind w:left="360" w:hanging="360"/>
        <w:jc w:val="left"/>
      </w:pPr>
      <w:r>
        <w:rPr>
          <w:rFonts w:ascii="Times New Roman" w:hAnsi="Times New Roman" w:eastAsia="Times New Roman" w:cs="Times New Roman"/>
          <w:sz w:val="24"/>
        </w:rPr>
        <w:t>29. Karahoda R, Toit TD, Fuenzalida B, Kallol S, Groessl M, Anderle P, Ontsouka E, Staud F, Flueck CE, Albrecht C. 2025. Landscape of steroid dynamics in pregnancy: Insights from the maternal-placental-fetal unit and placental models. Mol Cell Proteomics 24(6):100976. https://doi.org/10.1016/j.mcpro.2025.100976</w:t>
      </w:r>
    </w:p>
    <w:p>
      <w:pPr>
        <w:keepNext w:val="0"/>
        <w:keepLines w:val="0"/>
        <w:spacing w:before="0" w:after="0" w:line="480" w:lineRule="auto"/>
        <w:ind w:left="360" w:hanging="360"/>
        <w:jc w:val="left"/>
      </w:pPr>
      <w:r>
        <w:rPr>
          <w:rFonts w:ascii="Times New Roman" w:hAnsi="Times New Roman" w:eastAsia="Times New Roman" w:cs="Times New Roman"/>
          <w:sz w:val="24"/>
        </w:rPr>
        <w:t>30. O'Neill LAJ, Kishton RJ, Rathmell J. 2016. A guide to immunometabolism for immunologists. Nat Rev Immunol 16(9):553-565. https://doi.org/10.1038/nri.2016.70</w:t>
      </w:r>
    </w:p>
    <w:p>
      <w:pPr>
        <w:keepNext w:val="0"/>
        <w:keepLines w:val="0"/>
        <w:spacing w:before="0" w:after="0" w:line="480" w:lineRule="auto"/>
        <w:ind w:left="360" w:hanging="360"/>
        <w:jc w:val="left"/>
      </w:pPr>
      <w:r>
        <w:rPr>
          <w:rFonts w:ascii="Times New Roman" w:hAnsi="Times New Roman" w:eastAsia="Times New Roman" w:cs="Times New Roman"/>
          <w:sz w:val="24"/>
        </w:rPr>
        <w:t>31. Ting KKY. 2024. Revisiting the role of hypoxia-inducible factors and nuclear factor erythroid 2-related factor 2 in regulating macrophage inflammation and metabolism. Front Cell Infect Microbiol 14:1403915. https://doi.org/10.3389/fcimb.2024.1403915</w:t>
      </w:r>
    </w:p>
    <w:p>
      <w:pPr>
        <w:keepNext w:val="0"/>
        <w:keepLines w:val="0"/>
        <w:spacing w:before="0" w:after="0" w:line="480" w:lineRule="auto"/>
        <w:ind w:left="360" w:hanging="360"/>
        <w:jc w:val="left"/>
      </w:pPr>
      <w:r>
        <w:rPr>
          <w:rFonts w:ascii="Times New Roman" w:hAnsi="Times New Roman" w:eastAsia="Times New Roman" w:cs="Times New Roman"/>
          <w:sz w:val="24"/>
        </w:rPr>
        <w:t>32. Flores-Gomez D, Bekkering S, Horst RT, Cossins B, Munckhof ICLvd, Rutten JHW, Joosten LAB, Netea MG, Riksen NP. 2024. The effect of leptin on trained innate immunity and on systemic inflammation in subjects with obesity. J Leukoc Biol 115(2):374-384. https://doi.org/10.1093/jleuko/qiad118</w:t>
      </w:r>
    </w:p>
    <w:p>
      <w:pPr>
        <w:keepNext w:val="0"/>
        <w:keepLines w:val="0"/>
        <w:spacing w:before="0" w:after="0" w:line="480" w:lineRule="auto"/>
        <w:ind w:left="360" w:hanging="360"/>
        <w:jc w:val="left"/>
      </w:pPr>
      <w:r>
        <w:rPr>
          <w:rFonts w:ascii="Times New Roman" w:hAnsi="Times New Roman" w:eastAsia="Times New Roman" w:cs="Times New Roman"/>
          <w:sz w:val="24"/>
        </w:rPr>
        <w:t>33. Schwartz L, Salamon K, Simoni A, Eichler T, Jackson AR, Murtha M, Becknell B, Kauffman A, Linn-Peirano S, Holdsworth N, Tyagi V, Tang H, Rust S, Cortado H, Zabbarova I, Kanai A, Spencer JD. 2024. Insulin receptor signaling engages bladder urothelial defenses that limit urinary tract infection. Cell Rep 43(4):114007. https://doi.org/10.1016/j.celrep.2024.114007</w:t>
      </w:r>
    </w:p>
    <w:p>
      <w:pPr>
        <w:keepNext w:val="0"/>
        <w:keepLines w:val="0"/>
        <w:spacing w:before="0" w:after="0" w:line="480" w:lineRule="auto"/>
        <w:ind w:left="360" w:hanging="360"/>
        <w:jc w:val="left"/>
      </w:pPr>
      <w:r>
        <w:rPr>
          <w:rFonts w:ascii="Times New Roman" w:hAnsi="Times New Roman" w:eastAsia="Times New Roman" w:cs="Times New Roman"/>
          <w:sz w:val="24"/>
        </w:rPr>
        <w:t>34. Bandyopadhyay S, Lysak N, Adhikari L, Velez LM, Sautina L, Mohandas R, Lopez M, Ungaro R, Peng Y, Kadri F, Efron P, Brakenridge S, Moldawer L, Moore F, Baker HV, Segal MS, Ozrazgat-Baslanti T, Rashidi P, Bihorac A. 2020. Discovery and validation of urinary molecular signature of early sepsis. Crit Care Explor 2(10):e0195. https://doi.org/10.1097/CCE.0000000000000195</w:t>
      </w:r>
    </w:p>
    <w:p>
      <w:pPr>
        <w:keepNext w:val="0"/>
        <w:keepLines w:val="0"/>
        <w:spacing w:before="0" w:after="0" w:line="480" w:lineRule="auto"/>
        <w:ind w:left="360" w:hanging="360"/>
        <w:jc w:val="left"/>
      </w:pPr>
      <w:r>
        <w:rPr>
          <w:rFonts w:ascii="Times New Roman" w:hAnsi="Times New Roman" w:eastAsia="Times New Roman" w:cs="Times New Roman"/>
          <w:sz w:val="24"/>
        </w:rPr>
        <w:t xml:space="preserve">35. O'Brien VP, Lewis AL, Gilbert NM. 2021. Bladder exposure to Gardnerella activates host pathways necessary for </w:t>
      </w:r>
      <w:r>
        <w:rPr>
          <w:rFonts w:ascii="Times New Roman" w:hAnsi="Times New Roman" w:eastAsia="Times New Roman" w:cs="Times New Roman"/>
          <w:i/>
          <w:sz w:val="24"/>
        </w:rPr>
        <w:t>Escherichia coli</w:t>
      </w:r>
      <w:r>
        <w:rPr>
          <w:rFonts w:ascii="Times New Roman" w:hAnsi="Times New Roman" w:eastAsia="Times New Roman" w:cs="Times New Roman"/>
          <w:sz w:val="24"/>
        </w:rPr>
        <w:t xml:space="preserve"> recurrent UTI. Front Cell Infect Microbiol 11:788229. https://doi.org/10.3389/fcimb.2021.788229</w:t>
      </w:r>
    </w:p>
    <w:p>
      <w:pPr>
        <w:keepNext w:val="0"/>
        <w:keepLines w:val="0"/>
        <w:spacing w:before="0" w:after="0" w:line="480" w:lineRule="auto"/>
        <w:ind w:left="360" w:hanging="360"/>
        <w:jc w:val="left"/>
      </w:pPr>
      <w:r>
        <w:rPr>
          <w:rFonts w:ascii="Times New Roman" w:hAnsi="Times New Roman" w:eastAsia="Times New Roman" w:cs="Times New Roman"/>
          <w:sz w:val="24"/>
        </w:rPr>
        <w:t>36. Ottinger S, Larson AB, Mercado-Evans V, Branthoover H, Zulk JJ, Serchejian C, Mejia ME, Hameed ZA, Walde R, Fleck RC, Shea AE, Patras KA. 2024. Distinct maternofetal immune signatures delineate preterm birth onset following urinary tract infection. bioRxiv 2024.10.22.619711. https://doi.org/10.1101/2024.10.22.619711</w:t>
      </w:r>
    </w:p>
    <w:p>
      <w:pPr>
        <w:keepNext w:val="0"/>
        <w:keepLines w:val="0"/>
        <w:spacing w:before="0" w:after="0" w:line="480" w:lineRule="auto"/>
        <w:ind w:left="360" w:hanging="360"/>
        <w:jc w:val="left"/>
      </w:pPr>
      <w:r>
        <w:rPr>
          <w:rFonts w:ascii="Times New Roman" w:hAnsi="Times New Roman" w:eastAsia="Times New Roman" w:cs="Times New Roman"/>
          <w:sz w:val="24"/>
        </w:rPr>
        <w:t xml:space="preserve">37. Liu Y, Yang Z, Xiang Y, Cheng G, Chen L, Wang S, Zang M, Zhou N, Zhang X, Chen R, Shi B, Li Y. 2025. Single-cell analysis reveals an important role of CD137L-positive macrophages in the host response to </w:t>
      </w:r>
      <w:r>
        <w:rPr>
          <w:rFonts w:ascii="Times New Roman" w:hAnsi="Times New Roman" w:eastAsia="Times New Roman" w:cs="Times New Roman"/>
          <w:i/>
          <w:sz w:val="24"/>
        </w:rPr>
        <w:t>uropathogenic Escherichia coli</w:t>
      </w:r>
      <w:r>
        <w:rPr>
          <w:rFonts w:ascii="Times New Roman" w:hAnsi="Times New Roman" w:eastAsia="Times New Roman" w:cs="Times New Roman"/>
          <w:sz w:val="24"/>
        </w:rPr>
        <w:t xml:space="preserve"> infection in the bladder. PLoS Pathog 21(10):e1013543. https://doi.org/10.1371/journal.ppat.1013543</w:t>
      </w:r>
    </w:p>
    <w:p>
      <w:pPr>
        <w:keepNext w:val="0"/>
        <w:keepLines w:val="0"/>
        <w:spacing w:before="0" w:after="0" w:line="480" w:lineRule="auto"/>
        <w:ind w:left="360" w:hanging="360"/>
        <w:jc w:val="left"/>
      </w:pPr>
      <w:r>
        <w:rPr>
          <w:rFonts w:ascii="Times New Roman" w:hAnsi="Times New Roman" w:eastAsia="Times New Roman" w:cs="Times New Roman"/>
          <w:sz w:val="24"/>
        </w:rPr>
        <w:t>38. Smaill FM, Vazquez JC. 2015. Antibiotics for asymptomatic bacteriuria in pregnancy. Cochrane Database Syst Rev CD000490. https://doi.org/10.1002/14651858.CD000490.pub3</w:t>
      </w:r>
    </w:p>
    <w:p>
      <w:pPr>
        <w:keepNext w:val="0"/>
        <w:keepLines w:val="0"/>
        <w:spacing w:before="0" w:after="0" w:line="480" w:lineRule="auto"/>
        <w:ind w:left="360" w:hanging="360"/>
        <w:jc w:val="left"/>
      </w:pPr>
      <w:r>
        <w:rPr>
          <w:rFonts w:ascii="Times New Roman" w:hAnsi="Times New Roman" w:eastAsia="Times New Roman" w:cs="Times New Roman"/>
          <w:sz w:val="24"/>
        </w:rPr>
        <w:t>39. O'Brien VP, Hannan TJ, Nielsen HV, Hultgren SJ. 2016. Drug and vaccine development for the treatment and prevention of urinary tract infections. Microbiol Spectr 4(1). https://doi.org/10.1128/microbiolspec.UTI-0013-2012</w:t>
      </w:r>
    </w:p>
    <w:p>
      <w:pPr>
        <w:keepNext w:val="0"/>
        <w:keepLines w:val="0"/>
        <w:spacing w:before="0" w:after="0" w:line="480" w:lineRule="auto"/>
        <w:ind w:left="360" w:hanging="360"/>
        <w:jc w:val="left"/>
      </w:pPr>
      <w:r>
        <w:rPr>
          <w:rFonts w:ascii="Times New Roman" w:hAnsi="Times New Roman" w:eastAsia="Times New Roman" w:cs="Times New Roman"/>
          <w:sz w:val="24"/>
        </w:rPr>
        <w:t>40. Clough E, Barrett T. 2016. The Gene Expression Omnibus Database. Methods Mol Biol 1418:93-110. https://doi.org/10.1007/978-1-4939-3578-9_5</w:t>
      </w:r>
    </w:p>
    <w:p>
      <w:pPr>
        <w:keepNext w:val="0"/>
        <w:keepLines w:val="0"/>
        <w:spacing w:before="0" w:after="0" w:line="480" w:lineRule="auto"/>
        <w:ind w:left="360" w:hanging="360"/>
        <w:jc w:val="left"/>
      </w:pPr>
      <w:r>
        <w:rPr>
          <w:rFonts w:ascii="Times New Roman" w:hAnsi="Times New Roman" w:eastAsia="Times New Roman" w:cs="Times New Roman"/>
          <w:sz w:val="24"/>
        </w:rPr>
        <w:t>41. Edgar R, Domrachev M, Lash AE. 2002. Gene Expression Omnibus: NCBI gene expression and hybridization array data repository. Nucleic Acids Res 30(1):207-210. https://doi.org/10.1093/nar/30.1.207</w:t>
      </w:r>
    </w:p>
    <w:p>
      <w:pPr>
        <w:keepNext w:val="0"/>
        <w:keepLines w:val="0"/>
        <w:spacing w:before="0" w:after="0" w:line="480" w:lineRule="auto"/>
        <w:ind w:left="360" w:hanging="360"/>
        <w:jc w:val="left"/>
      </w:pPr>
      <w:r>
        <w:rPr>
          <w:rFonts w:ascii="Times New Roman" w:hAnsi="Times New Roman" w:eastAsia="Times New Roman" w:cs="Times New Roman"/>
          <w:sz w:val="24"/>
        </w:rPr>
        <w:t>42. National Center for Biotechnology Information. 2020. Discovery and validation of urinary molecular signature of early sepsis (validation cohort). NCBI Gene Expression Omnibus, accession GSE112098. https://www.ncbi.nlm.nih.gov/geo/query/acc.cgi?acc=GSE112098</w:t>
      </w:r>
    </w:p>
    <w:p>
      <w:pPr>
        <w:keepNext w:val="0"/>
        <w:keepLines w:val="0"/>
        <w:spacing w:before="0" w:after="0" w:line="480" w:lineRule="auto"/>
        <w:ind w:left="360" w:hanging="360"/>
        <w:jc w:val="left"/>
      </w:pPr>
      <w:r>
        <w:rPr>
          <w:rFonts w:ascii="Times New Roman" w:hAnsi="Times New Roman" w:eastAsia="Times New Roman" w:cs="Times New Roman"/>
          <w:sz w:val="24"/>
        </w:rPr>
        <w:t xml:space="preserve">43. National Center for Biotechnology Information. 2021. </w:t>
      </w:r>
      <w:r>
        <w:rPr>
          <w:rFonts w:ascii="Times New Roman" w:hAnsi="Times New Roman" w:eastAsia="Times New Roman" w:cs="Times New Roman"/>
          <w:i/>
          <w:sz w:val="24"/>
        </w:rPr>
        <w:t>Gardnerella vaginalis</w:t>
      </w:r>
      <w:r>
        <w:rPr>
          <w:rFonts w:ascii="Times New Roman" w:hAnsi="Times New Roman" w:eastAsia="Times New Roman" w:cs="Times New Roman"/>
          <w:sz w:val="24"/>
        </w:rPr>
        <w:t xml:space="preserve"> activates host responses necessary for </w:t>
      </w:r>
      <w:r>
        <w:rPr>
          <w:rFonts w:ascii="Times New Roman" w:hAnsi="Times New Roman" w:eastAsia="Times New Roman" w:cs="Times New Roman"/>
          <w:i/>
          <w:sz w:val="24"/>
        </w:rPr>
        <w:t>Escherichia coli</w:t>
      </w:r>
      <w:r>
        <w:rPr>
          <w:rFonts w:ascii="Times New Roman" w:hAnsi="Times New Roman" w:eastAsia="Times New Roman" w:cs="Times New Roman"/>
          <w:sz w:val="24"/>
        </w:rPr>
        <w:t xml:space="preserve"> recurrent UTI from bladder reservoirs. NCBI Gene Expression Omnibus, accession GSE186800. https://www.ncbi.nlm.nih.gov/geo/query/acc.cgi?acc=GSE186800</w:t>
      </w:r>
    </w:p>
    <w:p>
      <w:pPr>
        <w:keepNext w:val="0"/>
        <w:keepLines w:val="0"/>
        <w:spacing w:before="0" w:after="0" w:line="480" w:lineRule="auto"/>
        <w:ind w:left="360" w:hanging="360"/>
        <w:jc w:val="left"/>
      </w:pPr>
      <w:r>
        <w:rPr>
          <w:rFonts w:ascii="Times New Roman" w:hAnsi="Times New Roman" w:eastAsia="Times New Roman" w:cs="Times New Roman"/>
          <w:sz w:val="24"/>
        </w:rPr>
        <w:t>44. National Center for Biotechnology Information. 2025. Distinct maternofetal immune signatures delineate preterm birth onset following urinary tract infection. NCBI Gene Expression Omnibus, accession GSE280297. https://www.ncbi.nlm.nih.gov/geo/query/acc.cgi?acc=GSE280297</w:t>
      </w:r>
    </w:p>
    <w:p>
      <w:pPr>
        <w:keepNext w:val="0"/>
        <w:keepLines w:val="0"/>
        <w:spacing w:before="0" w:after="0" w:line="480" w:lineRule="auto"/>
        <w:ind w:left="360" w:hanging="360"/>
        <w:jc w:val="left"/>
      </w:pPr>
      <w:r>
        <w:rPr>
          <w:rFonts w:ascii="Times New Roman" w:hAnsi="Times New Roman" w:eastAsia="Times New Roman" w:cs="Times New Roman"/>
          <w:sz w:val="24"/>
        </w:rPr>
        <w:t>45. National Center for Biotechnology Information. 2025. CD137L-positive macrophage resolves acute cystitis induced by UPEC infection through regulatory T-cell activation. NCBI Gene Expression Omnibus, accession GSE252321. https://www.ncbi.nlm.nih.gov/geo/query/acc.cgi?acc=GSE252321</w:t>
      </w:r>
    </w:p>
    <w:p>
      <w:pPr>
        <w:keepNext w:val="0"/>
        <w:keepLines w:val="0"/>
        <w:spacing w:before="0" w:after="0" w:line="480" w:lineRule="auto"/>
        <w:ind w:left="360" w:hanging="360"/>
        <w:jc w:val="left"/>
      </w:pPr>
      <w:r>
        <w:rPr>
          <w:rFonts w:ascii="Times New Roman" w:hAnsi="Times New Roman" w:eastAsia="Times New Roman" w:cs="Times New Roman"/>
          <w:sz w:val="24"/>
        </w:rPr>
        <w:t>46. Huber W, Carey VJ, Gentleman R, Anders S, Carlson M, Carvalho BS, Bravo HC, Davis S, Gatto L, Girke T, Gottardo R, Hahne F, Hansen KD, Irizarry RA, Lawrence M, Love MI, MacDonald J, Obenchain V, Oles AK, Pages H, Reyes A, Shannon P, Smyth GK, Tenenbaum D, Waldron L, Morgan M. 2015. Orchestrating high-throughput genomic analysis with Bioconductor. Nat Methods 12(2):115-121. https://doi.org/10.1038/nmeth.3252</w:t>
      </w:r>
    </w:p>
    <w:p>
      <w:pPr>
        <w:keepNext w:val="0"/>
        <w:keepLines w:val="0"/>
        <w:spacing w:before="0" w:after="0" w:line="480" w:lineRule="auto"/>
        <w:ind w:left="360" w:hanging="360"/>
        <w:jc w:val="left"/>
      </w:pPr>
      <w:r>
        <w:rPr>
          <w:rFonts w:ascii="Times New Roman" w:hAnsi="Times New Roman" w:eastAsia="Times New Roman" w:cs="Times New Roman"/>
          <w:sz w:val="24"/>
        </w:rPr>
        <w:t>47. Irizarry RA, Hobbs B, Collin F, Beazer-Barclay YD, Antonellis KJ, Scherf U, Speed TP. 2003. Exploration, normalization, and summaries of high density oligonucleotide array probe level data. Biostatistics 4(2):249-264. https://doi.org/10.1093/biostatistics/4.2.249</w:t>
      </w:r>
    </w:p>
    <w:p>
      <w:pPr>
        <w:keepNext w:val="0"/>
        <w:keepLines w:val="0"/>
        <w:spacing w:before="0" w:after="0" w:line="480" w:lineRule="auto"/>
        <w:ind w:left="360" w:hanging="360"/>
        <w:jc w:val="left"/>
      </w:pPr>
      <w:r>
        <w:rPr>
          <w:rFonts w:ascii="Times New Roman" w:hAnsi="Times New Roman" w:eastAsia="Times New Roman" w:cs="Times New Roman"/>
          <w:sz w:val="24"/>
        </w:rPr>
        <w:t>48. Law CW, Chen Y, Shi W, Smyth GK. 2014. Voom: Precision weights unlock linear model analysis tools for RNA-seq read counts. Genome Biol 15(2):R29. https://doi.org/10.1186/gb-2014-15-2-r29</w:t>
      </w:r>
    </w:p>
    <w:p>
      <w:pPr>
        <w:keepNext w:val="0"/>
        <w:keepLines w:val="0"/>
        <w:spacing w:before="0" w:after="0" w:line="480" w:lineRule="auto"/>
        <w:ind w:left="360" w:hanging="360"/>
        <w:jc w:val="left"/>
      </w:pPr>
      <w:r>
        <w:rPr>
          <w:rFonts w:ascii="Times New Roman" w:hAnsi="Times New Roman" w:eastAsia="Times New Roman" w:cs="Times New Roman"/>
          <w:sz w:val="24"/>
        </w:rPr>
        <w:t>49. Love MI, Huber W, Anders S. 2014. Moderated estimation of fold change and dispersion for RNA-seq data with DESeq2. Genome Biol 15(12):550. https://doi.org/10.1186/s13059-014-0550-8</w:t>
      </w:r>
    </w:p>
    <w:p>
      <w:pPr>
        <w:keepNext w:val="0"/>
        <w:keepLines w:val="0"/>
        <w:spacing w:before="0" w:after="0" w:line="480" w:lineRule="auto"/>
        <w:ind w:left="360" w:hanging="360"/>
        <w:jc w:val="left"/>
      </w:pPr>
      <w:r>
        <w:rPr>
          <w:rFonts w:ascii="Times New Roman" w:hAnsi="Times New Roman" w:eastAsia="Times New Roman" w:cs="Times New Roman"/>
          <w:sz w:val="24"/>
        </w:rPr>
        <w:t>50. Ritchie ME, Phipson B, Wu D, Hu Y, Law CW, Shi W, Smyth GK. 2015. limma powers differential expression analyses for RNA-sequencing and microarray studies. Nucleic Acids Res 43(7):e47. https://doi.org/10.1093/nar/gkv007</w:t>
      </w:r>
    </w:p>
    <w:p>
      <w:pPr>
        <w:keepNext w:val="0"/>
        <w:keepLines w:val="0"/>
        <w:spacing w:before="0" w:after="0" w:line="480" w:lineRule="auto"/>
        <w:ind w:left="360" w:hanging="360"/>
        <w:jc w:val="left"/>
      </w:pPr>
      <w:r>
        <w:rPr>
          <w:rFonts w:ascii="Times New Roman" w:hAnsi="Times New Roman" w:eastAsia="Times New Roman" w:cs="Times New Roman"/>
          <w:sz w:val="24"/>
        </w:rPr>
        <w:t>51. Robinson MD, McCarthy DJ, Smyth GK. 2010. edgeR: A Bioconductor package for differential expression analysis of digital gene expression data. Bioinformatics 26(1):139-140. https://doi.org/10.1093/bioinformatics/btp616</w:t>
      </w:r>
    </w:p>
    <w:p>
      <w:pPr>
        <w:keepNext w:val="0"/>
        <w:keepLines w:val="0"/>
        <w:spacing w:before="0" w:after="0" w:line="480" w:lineRule="auto"/>
        <w:ind w:left="360" w:hanging="360"/>
        <w:jc w:val="left"/>
      </w:pPr>
      <w:r>
        <w:rPr>
          <w:rFonts w:ascii="Times New Roman" w:hAnsi="Times New Roman" w:eastAsia="Times New Roman" w:cs="Times New Roman"/>
          <w:sz w:val="24"/>
        </w:rPr>
        <w:t>52. McInnes L, Healy J, Saul N, Grossberger L. 2018. UMAP: Uniform Manifold Approximation and Projection. J Open Source Softw 3(29):861. https://doi.org/10.21105/joss.00861</w:t>
      </w:r>
    </w:p>
    <w:p>
      <w:pPr>
        <w:keepNext w:val="0"/>
        <w:keepLines w:val="0"/>
        <w:spacing w:before="0" w:after="0" w:line="480" w:lineRule="auto"/>
        <w:ind w:left="360" w:hanging="360"/>
        <w:jc w:val="left"/>
      </w:pPr>
      <w:r>
        <w:rPr>
          <w:rFonts w:ascii="Times New Roman" w:hAnsi="Times New Roman" w:eastAsia="Times New Roman" w:cs="Times New Roman"/>
          <w:sz w:val="24"/>
        </w:rPr>
        <w:t>53. Wolf FA, Angerer P, Theis FJ. 2018. SCANPY: Large-scale single-cell gene expression data analysis. Genome Biol 19(1):15. https://doi.org/10.1186/s13059-017-1382-0</w:t>
      </w:r>
    </w:p>
    <w:p>
      <w:pPr>
        <w:keepNext w:val="0"/>
        <w:keepLines w:val="0"/>
        <w:spacing w:before="0" w:after="0" w:line="480" w:lineRule="auto"/>
        <w:ind w:left="360" w:hanging="360"/>
        <w:jc w:val="left"/>
      </w:pPr>
      <w:r>
        <w:rPr>
          <w:rFonts w:ascii="Times New Roman" w:hAnsi="Times New Roman" w:eastAsia="Times New Roman" w:cs="Times New Roman"/>
          <w:sz w:val="24"/>
        </w:rPr>
        <w:t>54. Hedges LV. 1981. Distribution theory for Glass's estimator of effect size and related estimators. J Educ Stat 6(2):107-128. https://doi.org/10.3102/10769986006002107</w:t>
      </w:r>
    </w:p>
    <w:p>
      <w:pPr>
        <w:keepNext w:val="0"/>
        <w:keepLines w:val="0"/>
        <w:spacing w:before="0" w:after="0" w:line="480" w:lineRule="auto"/>
        <w:ind w:left="360" w:hanging="360"/>
        <w:jc w:val="left"/>
      </w:pPr>
      <w:r>
        <w:rPr>
          <w:rFonts w:ascii="Times New Roman" w:hAnsi="Times New Roman" w:eastAsia="Times New Roman" w:cs="Times New Roman"/>
          <w:sz w:val="24"/>
        </w:rPr>
        <w:t>55. Benjamini Y, Hochberg Y. 1995. Controlling the false discovery rate: A practical and powerful approach to multiple testing. J R Stat Soc Series B Stat Methodol 57(1):289-300. https://doi.org/10.1111/j.2517-6161.1995.tb02031.x</w:t>
      </w:r>
    </w:p>
    <w:p>
      <w:pPr>
        <w:keepNext w:val="0"/>
        <w:keepLines w:val="0"/>
        <w:spacing w:before="0" w:after="0" w:line="480" w:lineRule="auto"/>
        <w:ind w:left="360" w:hanging="360"/>
        <w:jc w:val="left"/>
      </w:pPr>
      <w:r>
        <w:rPr>
          <w:rFonts w:ascii="Times New Roman" w:hAnsi="Times New Roman" w:eastAsia="Times New Roman" w:cs="Times New Roman"/>
          <w:sz w:val="24"/>
        </w:rPr>
        <w:t>56. Squair JW, Gautier M, Kathe C, Anderson MA, James ND, Hutson TH, Hudelle R, Qaiser T, Matson KJE, Barraud Q, Levine AJ, Manno GL, Skinnider MA, Courtine G. 2021. Confronting false discoveries in single-cell differential expression. Nat Commun 12(1):5692. https://doi.org/10.1038/s41467-021-25960-2</w:t>
      </w:r>
    </w:p>
    <w:p>
      <w:pPr>
        <w:keepNext w:val="0"/>
        <w:keepLines w:val="0"/>
        <w:spacing w:before="0" w:after="0" w:line="480" w:lineRule="auto"/>
        <w:ind w:left="360" w:hanging="360"/>
        <w:jc w:val="left"/>
      </w:pPr>
      <w:r>
        <w:rPr>
          <w:rFonts w:ascii="Times New Roman" w:hAnsi="Times New Roman" w:eastAsia="Times New Roman" w:cs="Times New Roman"/>
          <w:sz w:val="24"/>
        </w:rPr>
        <w:t xml:space="preserve">57. Zhou Y, Zhou Z, Zheng L, Gong Z, Li Y, Jin Y, Huang Y, Chi M. 2023. Urinary tract infections caused by </w:t>
      </w:r>
      <w:r>
        <w:rPr>
          <w:rFonts w:ascii="Times New Roman" w:hAnsi="Times New Roman" w:eastAsia="Times New Roman" w:cs="Times New Roman"/>
          <w:i/>
          <w:sz w:val="24"/>
        </w:rPr>
        <w:t>uropathogenic Escherichia coli</w:t>
      </w:r>
      <w:r>
        <w:rPr>
          <w:rFonts w:ascii="Times New Roman" w:hAnsi="Times New Roman" w:eastAsia="Times New Roman" w:cs="Times New Roman"/>
          <w:sz w:val="24"/>
        </w:rPr>
        <w:t>: Mechanisms of infection and treatment options. Int J Mol Sci 24(13):10537. https://doi.org/10.3390/ijms241310537</w:t>
      </w:r>
    </w:p>
    <w:p>
      <w:pPr>
        <w:pStyle w:val="Heading1"/>
        <w:keepNext/>
        <w:spacing w:before="240" w:after="0" w:line="480" w:lineRule="auto"/>
      </w:pPr>
      <w:r>
        <w:rPr>
          <w:rFonts w:ascii="Times New Roman" w:hAnsi="Times New Roman" w:eastAsia="Times New Roman" w:cs="Times New Roman"/>
          <w:b/>
          <w:sz w:val="24"/>
        </w:rPr>
        <w:t>Figure Legends</w:t>
      </w:r>
    </w:p>
    <w:p>
      <w:pPr>
        <w:keepNext w:val="0"/>
        <w:keepLines w:val="0"/>
        <w:spacing w:before="0" w:after="0" w:line="480" w:lineRule="auto"/>
        <w:jc w:val="both"/>
      </w:pPr>
      <w:r>
        <w:rPr>
          <w:rFonts w:ascii="Times New Roman" w:hAnsi="Times New Roman" w:eastAsia="Times New Roman" w:cs="Times New Roman"/>
          <w:b/>
          <w:sz w:val="24"/>
        </w:rPr>
        <w:t>FIG 1.</w:t>
      </w:r>
      <w:r>
        <w:rPr>
          <w:rFonts w:ascii="Times New Roman" w:hAnsi="Times New Roman" w:eastAsia="Times New Roman" w:cs="Times New Roman"/>
          <w:sz w:val="24"/>
        </w:rPr>
        <w:t xml:space="preserve"> Study architecture and analytical design. (A) Central biological domains linking recurrent infection, pregnancy and tissue outcome, endocrine-metabolic branches, and cell-resolved immune localization. (B) Dataset roles and biological sample counts for GSE112098, GSE280297, GSE186800, and GSE252321. (C) Pregnancy-associated sample structure across bladder, placenta, and uterus. (D) Distribution of 78 submodules across ten biological axes. (E) Analytical workflow from expression-matrix repair and within-dataset scoring to cross-context synthesis and cellular attribution. (F) Distribution of modules by recurrence and context classification. Each dataset remained in its native species and tissue design; integration used standardized effects rather than pooled raw expression.</w:t>
      </w:r>
    </w:p>
    <w:p>
      <w:pPr>
        <w:keepNext w:val="0"/>
        <w:keepLines w:val="0"/>
        <w:spacing w:before="0" w:after="0" w:line="480" w:lineRule="auto"/>
        <w:jc w:val="both"/>
      </w:pPr>
      <w:r>
        <w:rPr>
          <w:rFonts w:ascii="Times New Roman" w:hAnsi="Times New Roman" w:eastAsia="Times New Roman" w:cs="Times New Roman"/>
          <w:b/>
          <w:sz w:val="24"/>
        </w:rPr>
        <w:t>FIG 2.</w:t>
      </w:r>
      <w:r>
        <w:rPr>
          <w:rFonts w:ascii="Times New Roman" w:hAnsi="Times New Roman" w:eastAsia="Times New Roman" w:cs="Times New Roman"/>
          <w:sz w:val="24"/>
        </w:rPr>
        <w:t xml:space="preserve"> Cross-context infection effects and recurrent signaling. (A) Signed module-level effects for recurrent and context-specific pathways. (B) Distribution of modules across cross-context response classes. (C) Recurrent TLR4-LPS, leptin, insulin-receptor/IRS, PI3K-AKT, inflammatory-response, and glycogen/carbon-use topology. (D) Effects for C3a/C5a signaling and opsonophagocytosis across infection and pregnancy-outcome contrasts. (E) Age- and sex-adjusted effects in the human urinary/systemic inflammatory comparator. (F) Factorial effects in the recurrence-related bladder model. (G) Directional concordance across eligible independent contrasts.</w:t>
      </w:r>
    </w:p>
    <w:p>
      <w:pPr>
        <w:keepNext w:val="0"/>
        <w:keepLines w:val="0"/>
        <w:spacing w:before="0" w:after="0" w:line="480" w:lineRule="auto"/>
        <w:jc w:val="both"/>
      </w:pPr>
      <w:r>
        <w:rPr>
          <w:rFonts w:ascii="Times New Roman" w:hAnsi="Times New Roman" w:eastAsia="Times New Roman" w:cs="Times New Roman"/>
          <w:b/>
          <w:sz w:val="24"/>
        </w:rPr>
        <w:t>FIG 3.</w:t>
      </w:r>
      <w:r>
        <w:rPr>
          <w:rFonts w:ascii="Times New Roman" w:hAnsi="Times New Roman" w:eastAsia="Times New Roman" w:cs="Times New Roman"/>
          <w:sz w:val="24"/>
        </w:rPr>
        <w:t xml:space="preserve"> Pregnancy-, tissue-, and outcome-associated remodeling. (A) Distribution of mock/PBS, nonpregnant UPEC, preterm UPEC, and term UPEC samples across bladder, placenta, and uterus. (B) Preterm-versus-term effects for selected endocrine, metabolic, signaling, and complement modules. (C) Median cross-tissue effects and directional coherence. (D) Domain-level separation of steroid synthesis, receptor response, metabolic effector response, and complement effector response. (E) UPEC-versus-PBS effects during pregnancy. (F) Pregnant-versus-nonpregnant UPEC bladder effects. (G) Complement and inflammatory-carbon effects across pregnancy contrasts. (H) Integrated pregnancy-outcome model.</w:t>
      </w:r>
    </w:p>
    <w:p>
      <w:pPr>
        <w:keepNext w:val="0"/>
        <w:keepLines w:val="0"/>
        <w:spacing w:before="0" w:after="0" w:line="480" w:lineRule="auto"/>
        <w:jc w:val="both"/>
      </w:pPr>
      <w:r>
        <w:rPr>
          <w:rFonts w:ascii="Times New Roman" w:hAnsi="Times New Roman" w:eastAsia="Times New Roman" w:cs="Times New Roman"/>
          <w:b/>
          <w:sz w:val="24"/>
        </w:rPr>
        <w:t>FIG 4.</w:t>
      </w:r>
      <w:r>
        <w:rPr>
          <w:rFonts w:ascii="Times New Roman" w:hAnsi="Times New Roman" w:eastAsia="Times New Roman" w:cs="Times New Roman"/>
          <w:sz w:val="24"/>
        </w:rPr>
        <w:t xml:space="preserve"> Single-cell immune composition and pathway localization. (A) UMAP representation of quality-controlled bladder cells colored by broad immune population. (B) Marker expression supporting the 18 reconstructed clusters. (C) Broad immune-cell composition in two control and two UPEC samples. (D) Relative abundance of refined immune states. (E) TNFSF9-positive and TNFSF9-high fractions within macrophage/monocyte cells. (F) Strict and expanded Treg-like fractions within T cells. (G) Broad-cell localization of recurrent endocrine, metabolic, complement, and inflammatory modules using sample-aware pseudobulk effects. (H) Integrated TNFSF9-macrophage-Treg and cell-localization model.</w:t>
      </w:r>
    </w:p>
    <w:p>
      <w:pPr>
        <w:keepNext w:val="0"/>
        <w:keepLines w:val="0"/>
        <w:spacing w:before="0" w:after="0" w:line="480" w:lineRule="auto"/>
        <w:jc w:val="both"/>
      </w:pPr>
      <w:r>
        <w:rPr>
          <w:rFonts w:ascii="Times New Roman" w:hAnsi="Times New Roman" w:eastAsia="Times New Roman" w:cs="Times New Roman"/>
          <w:b/>
          <w:sz w:val="24"/>
        </w:rPr>
        <w:t>FIG 5.</w:t>
      </w:r>
      <w:r>
        <w:rPr>
          <w:rFonts w:ascii="Times New Roman" w:hAnsi="Times New Roman" w:eastAsia="Times New Roman" w:cs="Times New Roman"/>
          <w:sz w:val="24"/>
        </w:rPr>
        <w:t xml:space="preserve"> Steroid, cholesterol, and lipid-remodeling architecture. (A) Independent effects for steroidogenesis, androgen/testosterone and estrogen biology, cholesterol handling, receptor responses, and lipid pathways. (B) Preterm-versus-term endocrine effects across bladder, placenta, and uterus. (C) Domain-level separation of steroid synthesis, receptor response, metabolic effector response, and complement effector response. (D) Comparison of infection-associated and pregnancy-outcome endocrine effects. (E) Broad immune-cell localization of endocrine and lipid modules. (F) Lipid-droplet, PPAR/SREBP/LXR, ferroptosis, fatty-acid, phospholipid, sphingolipid/ceramide, and eicosanoid programs across contexts. (G) Refined cell-state localization of selected endocrine and lipid modules.</w:t>
      </w:r>
    </w:p>
    <w:p>
      <w:pPr>
        <w:keepNext w:val="0"/>
        <w:keepLines w:val="0"/>
        <w:spacing w:before="0" w:after="0" w:line="480" w:lineRule="auto"/>
        <w:jc w:val="both"/>
      </w:pPr>
      <w:r>
        <w:rPr>
          <w:rFonts w:ascii="Times New Roman" w:hAnsi="Times New Roman" w:eastAsia="Times New Roman" w:cs="Times New Roman"/>
          <w:b/>
          <w:sz w:val="24"/>
        </w:rPr>
        <w:t>FIG 6.</w:t>
      </w:r>
      <w:r>
        <w:rPr>
          <w:rFonts w:ascii="Times New Roman" w:hAnsi="Times New Roman" w:eastAsia="Times New Roman" w:cs="Times New Roman"/>
          <w:sz w:val="24"/>
        </w:rPr>
        <w:t xml:space="preserve"> Adipokine, insulin, and integrated immunometabolic remodeling. (A) Independent effects for leptin, resistin, insulin-receptor/IRS, PI3K-AKT, and inflammatory-carbon modules. (B) Pregnancy-associated adipokine and insulin effects across tissues. (C) Broad-cell localization. (D) Refined-cell support for immunometabolic modules. (E) Integrated leptin-IRS-PI3K/AKT network. (F) Transcriptionally inferred glycolysis, lactate/HIF1A, glycogen, pentose-phosphate, gluconeogenic, and tricarboxylic-acid-cycle programs. (G) Amino-acid transport, arginine/nitric-oxide, urea-cycle, glutamine, tryptophan, methionine/SAM, and one-carbon programs. (H) Purine, pyrimidine, NAD, xanthine-oxidase, and NRF2-redox programs.</w:t>
      </w:r>
    </w:p>
    <w:p>
      <w:pPr>
        <w:keepNext w:val="0"/>
        <w:keepLines w:val="0"/>
        <w:spacing w:before="0" w:after="0" w:line="480" w:lineRule="auto"/>
        <w:jc w:val="both"/>
      </w:pPr>
      <w:r>
        <w:rPr>
          <w:rFonts w:ascii="Times New Roman" w:hAnsi="Times New Roman" w:eastAsia="Times New Roman" w:cs="Times New Roman"/>
          <w:b/>
          <w:sz w:val="24"/>
        </w:rPr>
        <w:t>FIG 7.</w:t>
      </w:r>
      <w:r>
        <w:rPr>
          <w:rFonts w:ascii="Times New Roman" w:hAnsi="Times New Roman" w:eastAsia="Times New Roman" w:cs="Times New Roman"/>
          <w:sz w:val="24"/>
        </w:rPr>
        <w:t xml:space="preserve"> Complement branch and cellular architecture. (A) Independent effects for classical, lectin, and alternative initiation; C3 convertase/amplification; C3a/C5a signaling; opsonophagocytosis; terminal membrane-attack-complex biology; regulation; and coagulation crosstalk. (B) Preterm-versus-term complement effects by tissue. (C) Broad-cell localization of complement branches. (D) Refined-cell support. (E) Complement topology. (F) Comparison of infection-associated and pregnancy-outcome complement effects. (G) Number of broad immune populations with eligible cellular values for each complement stage.</w:t>
      </w:r>
    </w:p>
    <w:p>
      <w:pPr>
        <w:keepNext w:val="0"/>
        <w:keepLines w:val="0"/>
        <w:spacing w:before="0" w:after="0" w:line="480" w:lineRule="auto"/>
        <w:jc w:val="both"/>
      </w:pPr>
      <w:r>
        <w:rPr>
          <w:rFonts w:ascii="Times New Roman" w:hAnsi="Times New Roman" w:eastAsia="Times New Roman" w:cs="Times New Roman"/>
          <w:b/>
          <w:sz w:val="24"/>
        </w:rPr>
        <w:t>FIG 8.</w:t>
      </w:r>
      <w:r>
        <w:rPr>
          <w:rFonts w:ascii="Times New Roman" w:hAnsi="Times New Roman" w:eastAsia="Times New Roman" w:cs="Times New Roman"/>
          <w:sz w:val="24"/>
        </w:rPr>
        <w:t xml:space="preserve"> Integrated endocrine-metabolic-immune model. (A) Selected recurrent modules across infection datasets and the preterm-versus-term context. (B) Broad immune-cell localization of the recurrent core. (C) UPEC-associated differences in broad-cell composition. (D) UPEC-associated differences in Treg-like and TNFSF9-positive macrophage states. (E) Mechanistic network connecting UPEC/TLR4 signaling, leptin-IRS-PI3K/AKT, complement and opsonophagocytosis, steroid/lipid branching, carbon/nitrogen/redox remodeling, cell-state localization, and pregnancy- or tissue-specific outcomes. (F) Cross-context biological organization linking the recurrent infection core, endocrine-metabolic-complement branching, and cell-resolved immune-state localization.</w:t>
      </w:r>
    </w:p>
    <w:p>
      <w:r>
        <w:br w:type="page"/>
      </w:r>
    </w:p>
    <w:p>
      <w:pPr>
        <w:spacing w:before="0" w:after="0" w:line="240" w:lineRule="auto"/>
        <w:jc w:val="center"/>
      </w:pPr>
      <w:r>
        <w:drawing>
          <wp:inline xmlns:a="http://schemas.openxmlformats.org/drawingml/2006/main" xmlns:pic="http://schemas.openxmlformats.org/drawingml/2006/picture">
            <wp:extent cx="5943600" cy="7467958"/>
            <wp:docPr id="1" name="Picture 1"/>
            <wp:cNvGraphicFramePr>
              <a:graphicFrameLocks noChangeAspect="1"/>
            </wp:cNvGraphicFramePr>
            <a:graphic>
              <a:graphicData uri="http://schemas.openxmlformats.org/drawingml/2006/picture">
                <pic:pic>
                  <pic:nvPicPr>
                    <pic:cNvPr id="0" name="image1.png"/>
                    <pic:cNvPicPr/>
                  </pic:nvPicPr>
                  <pic:blipFill>
                    <a:blip r:embed="rId10"/>
                    <a:stretch>
                      <a:fillRect/>
                    </a:stretch>
                  </pic:blipFill>
                  <pic:spPr>
                    <a:xfrm>
                      <a:off x="0" y="0"/>
                      <a:ext cx="5943600" cy="7467958"/>
                    </a:xfrm>
                    <a:prstGeom prst="rect"/>
                  </pic:spPr>
                </pic:pic>
              </a:graphicData>
            </a:graphic>
          </wp:inline>
        </w:drawing>
      </w:r>
    </w:p>
    <w:p>
      <w:r>
        <w:br w:type="page"/>
      </w:r>
    </w:p>
    <w:p>
      <w:pPr>
        <w:spacing w:before="0" w:after="0" w:line="240" w:lineRule="auto"/>
        <w:jc w:val="center"/>
      </w:pPr>
      <w:r>
        <w:drawing>
          <wp:inline xmlns:a="http://schemas.openxmlformats.org/drawingml/2006/main" xmlns:pic="http://schemas.openxmlformats.org/drawingml/2006/picture">
            <wp:extent cx="5633640" cy="7635240"/>
            <wp:docPr id="2" name="Picture 2"/>
            <wp:cNvGraphicFramePr>
              <a:graphicFrameLocks noChangeAspect="1"/>
            </wp:cNvGraphicFramePr>
            <a:graphic>
              <a:graphicData uri="http://schemas.openxmlformats.org/drawingml/2006/picture">
                <pic:pic>
                  <pic:nvPicPr>
                    <pic:cNvPr id="0" name="image2.png"/>
                    <pic:cNvPicPr/>
                  </pic:nvPicPr>
                  <pic:blipFill>
                    <a:blip r:embed="rId11"/>
                    <a:stretch>
                      <a:fillRect/>
                    </a:stretch>
                  </pic:blipFill>
                  <pic:spPr>
                    <a:xfrm>
                      <a:off x="0" y="0"/>
                      <a:ext cx="5633640" cy="7635240"/>
                    </a:xfrm>
                    <a:prstGeom prst="rect"/>
                  </pic:spPr>
                </pic:pic>
              </a:graphicData>
            </a:graphic>
          </wp:inline>
        </w:drawing>
      </w:r>
    </w:p>
    <w:p>
      <w:r>
        <w:br w:type="page"/>
      </w:r>
    </w:p>
    <w:p>
      <w:pPr>
        <w:spacing w:before="0" w:after="0" w:line="240" w:lineRule="auto"/>
        <w:jc w:val="center"/>
      </w:pPr>
      <w:r>
        <w:drawing>
          <wp:inline xmlns:a="http://schemas.openxmlformats.org/drawingml/2006/main" xmlns:pic="http://schemas.openxmlformats.org/drawingml/2006/picture">
            <wp:extent cx="4872337" cy="7635240"/>
            <wp:docPr id="3" name="Picture 3"/>
            <wp:cNvGraphicFramePr>
              <a:graphicFrameLocks noChangeAspect="1"/>
            </wp:cNvGraphicFramePr>
            <a:graphic>
              <a:graphicData uri="http://schemas.openxmlformats.org/drawingml/2006/picture">
                <pic:pic>
                  <pic:nvPicPr>
                    <pic:cNvPr id="0" name="image3.png"/>
                    <pic:cNvPicPr/>
                  </pic:nvPicPr>
                  <pic:blipFill>
                    <a:blip r:embed="rId12"/>
                    <a:stretch>
                      <a:fillRect/>
                    </a:stretch>
                  </pic:blipFill>
                  <pic:spPr>
                    <a:xfrm>
                      <a:off x="0" y="0"/>
                      <a:ext cx="4872337" cy="7635240"/>
                    </a:xfrm>
                    <a:prstGeom prst="rect"/>
                  </pic:spPr>
                </pic:pic>
              </a:graphicData>
            </a:graphic>
          </wp:inline>
        </w:drawing>
      </w:r>
    </w:p>
    <w:p>
      <w:r>
        <w:br w:type="page"/>
      </w:r>
    </w:p>
    <w:p>
      <w:pPr>
        <w:spacing w:before="0" w:after="0" w:line="240" w:lineRule="auto"/>
        <w:jc w:val="center"/>
      </w:pPr>
      <w:r>
        <w:drawing>
          <wp:inline xmlns:a="http://schemas.openxmlformats.org/drawingml/2006/main" xmlns:pic="http://schemas.openxmlformats.org/drawingml/2006/picture">
            <wp:extent cx="4916631" cy="7635240"/>
            <wp:docPr id="4" name="Picture 4"/>
            <wp:cNvGraphicFramePr>
              <a:graphicFrameLocks noChangeAspect="1"/>
            </wp:cNvGraphicFramePr>
            <a:graphic>
              <a:graphicData uri="http://schemas.openxmlformats.org/drawingml/2006/picture">
                <pic:pic>
                  <pic:nvPicPr>
                    <pic:cNvPr id="0" name="image4.png"/>
                    <pic:cNvPicPr/>
                  </pic:nvPicPr>
                  <pic:blipFill>
                    <a:blip r:embed="rId13"/>
                    <a:stretch>
                      <a:fillRect/>
                    </a:stretch>
                  </pic:blipFill>
                  <pic:spPr>
                    <a:xfrm>
                      <a:off x="0" y="0"/>
                      <a:ext cx="4916631" cy="7635240"/>
                    </a:xfrm>
                    <a:prstGeom prst="rect"/>
                  </pic:spPr>
                </pic:pic>
              </a:graphicData>
            </a:graphic>
          </wp:inline>
        </w:drawing>
      </w:r>
    </w:p>
    <w:p>
      <w:r>
        <w:br w:type="page"/>
      </w:r>
    </w:p>
    <w:p>
      <w:pPr>
        <w:spacing w:before="0" w:after="0" w:line="240" w:lineRule="auto"/>
        <w:jc w:val="center"/>
      </w:pPr>
      <w:r>
        <w:drawing>
          <wp:inline xmlns:a="http://schemas.openxmlformats.org/drawingml/2006/main" xmlns:pic="http://schemas.openxmlformats.org/drawingml/2006/picture">
            <wp:extent cx="5302250" cy="7635240"/>
            <wp:docPr id="5" name="Picture 5"/>
            <wp:cNvGraphicFramePr>
              <a:graphicFrameLocks noChangeAspect="1"/>
            </wp:cNvGraphicFramePr>
            <a:graphic>
              <a:graphicData uri="http://schemas.openxmlformats.org/drawingml/2006/picture">
                <pic:pic>
                  <pic:nvPicPr>
                    <pic:cNvPr id="0" name="image5.png"/>
                    <pic:cNvPicPr/>
                  </pic:nvPicPr>
                  <pic:blipFill>
                    <a:blip r:embed="rId14"/>
                    <a:stretch>
                      <a:fillRect/>
                    </a:stretch>
                  </pic:blipFill>
                  <pic:spPr>
                    <a:xfrm>
                      <a:off x="0" y="0"/>
                      <a:ext cx="5302250" cy="7635240"/>
                    </a:xfrm>
                    <a:prstGeom prst="rect"/>
                  </pic:spPr>
                </pic:pic>
              </a:graphicData>
            </a:graphic>
          </wp:inline>
        </w:drawing>
      </w:r>
    </w:p>
    <w:p>
      <w:r>
        <w:br w:type="page"/>
      </w:r>
    </w:p>
    <w:p>
      <w:pPr>
        <w:spacing w:before="0" w:after="0" w:line="240" w:lineRule="auto"/>
        <w:jc w:val="center"/>
      </w:pPr>
      <w:r>
        <w:drawing>
          <wp:inline xmlns:a="http://schemas.openxmlformats.org/drawingml/2006/main" xmlns:pic="http://schemas.openxmlformats.org/drawingml/2006/picture">
            <wp:extent cx="4786101" cy="7635240"/>
            <wp:docPr id="6" name="Picture 6"/>
            <wp:cNvGraphicFramePr>
              <a:graphicFrameLocks noChangeAspect="1"/>
            </wp:cNvGraphicFramePr>
            <a:graphic>
              <a:graphicData uri="http://schemas.openxmlformats.org/drawingml/2006/picture">
                <pic:pic>
                  <pic:nvPicPr>
                    <pic:cNvPr id="0" name="image6.png"/>
                    <pic:cNvPicPr/>
                  </pic:nvPicPr>
                  <pic:blipFill>
                    <a:blip r:embed="rId15"/>
                    <a:stretch>
                      <a:fillRect/>
                    </a:stretch>
                  </pic:blipFill>
                  <pic:spPr>
                    <a:xfrm>
                      <a:off x="0" y="0"/>
                      <a:ext cx="4786101" cy="7635240"/>
                    </a:xfrm>
                    <a:prstGeom prst="rect"/>
                  </pic:spPr>
                </pic:pic>
              </a:graphicData>
            </a:graphic>
          </wp:inline>
        </w:drawing>
      </w:r>
    </w:p>
    <w:p>
      <w:r>
        <w:br w:type="page"/>
      </w:r>
    </w:p>
    <w:p>
      <w:pPr>
        <w:spacing w:before="0" w:after="0" w:line="240" w:lineRule="auto"/>
        <w:jc w:val="center"/>
      </w:pPr>
      <w:r>
        <w:drawing>
          <wp:inline xmlns:a="http://schemas.openxmlformats.org/drawingml/2006/main" xmlns:pic="http://schemas.openxmlformats.org/drawingml/2006/picture">
            <wp:extent cx="5302250" cy="7635240"/>
            <wp:docPr id="7" name="Picture 7"/>
            <wp:cNvGraphicFramePr>
              <a:graphicFrameLocks noChangeAspect="1"/>
            </wp:cNvGraphicFramePr>
            <a:graphic>
              <a:graphicData uri="http://schemas.openxmlformats.org/drawingml/2006/picture">
                <pic:pic>
                  <pic:nvPicPr>
                    <pic:cNvPr id="0" name="image7.png"/>
                    <pic:cNvPicPr/>
                  </pic:nvPicPr>
                  <pic:blipFill>
                    <a:blip r:embed="rId16"/>
                    <a:stretch>
                      <a:fillRect/>
                    </a:stretch>
                  </pic:blipFill>
                  <pic:spPr>
                    <a:xfrm>
                      <a:off x="0" y="0"/>
                      <a:ext cx="5302250" cy="7635240"/>
                    </a:xfrm>
                    <a:prstGeom prst="rect"/>
                  </pic:spPr>
                </pic:pic>
              </a:graphicData>
            </a:graphic>
          </wp:inline>
        </w:drawing>
      </w:r>
    </w:p>
    <w:p>
      <w:r>
        <w:br w:type="page"/>
      </w:r>
    </w:p>
    <w:p>
      <w:pPr>
        <w:spacing w:before="0" w:after="0" w:line="240" w:lineRule="auto"/>
        <w:jc w:val="center"/>
      </w:pPr>
      <w:r>
        <w:drawing>
          <wp:inline xmlns:a="http://schemas.openxmlformats.org/drawingml/2006/main" xmlns:pic="http://schemas.openxmlformats.org/drawingml/2006/picture">
            <wp:extent cx="5878581" cy="7635240"/>
            <wp:docPr id="8" name="Picture 8"/>
            <wp:cNvGraphicFramePr>
              <a:graphicFrameLocks noChangeAspect="1"/>
            </wp:cNvGraphicFramePr>
            <a:graphic>
              <a:graphicData uri="http://schemas.openxmlformats.org/drawingml/2006/picture">
                <pic:pic>
                  <pic:nvPicPr>
                    <pic:cNvPr id="0" name="image8.png"/>
                    <pic:cNvPicPr/>
                  </pic:nvPicPr>
                  <pic:blipFill>
                    <a:blip r:embed="rId17"/>
                    <a:stretch>
                      <a:fillRect/>
                    </a:stretch>
                  </pic:blipFill>
                  <pic:spPr>
                    <a:xfrm>
                      <a:off x="0" y="0"/>
                      <a:ext cx="5878581" cy="7635240"/>
                    </a:xfrm>
                    <a:prstGeom prst="rect"/>
                  </pic:spPr>
                </pic:pic>
              </a:graphicData>
            </a:graphic>
          </wp:inline>
        </w:drawing>
      </w:r>
    </w:p>
    <w:sectPr w:rsidR="00FC693F" w:rsidRPr="0006063C" w:rsidSect="00034616">
      <w:footerReference w:type="default" r:id="rId9"/>
      <w:headerReference w:type="default" r:id="rId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sz w:val="2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Host endocrine-metabolic-immune remodeling across recurrent and pregnancy-associated uropathogenic Escherichia coli infection</dc:title>
  <dc:subject>mSystems Research Article</dc:subject>
  <dc:creator>Reuben S. Maghembe; Samweli Bahati; Abdalah Makaranga; Maximilian A.K. Magulye; Benson R. Kidenya</dc:creator>
  <cp:keywords>urinary tract infection; uropathogenic Escherichia coli; recurrent UTI; pregnancy; immunometabolism; complement</cp:keywords>
  <dc:description>generated by python-docx</dc:description>
  <cp:lastModifiedBy/>
  <cp:revision>1</cp:revision>
  <dcterms:created xsi:type="dcterms:W3CDTF">2013-12-23T23:15:00Z</dcterms:created>
  <dcterms:modified xsi:type="dcterms:W3CDTF">2013-12-23T23:15:00Z</dcterms:modified>
  <cp:category/>
</cp:coreProperties>
</file>