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Supplemental Material Legends</w:t>
      </w:r>
    </w:p>
    <w:p>
      <w:pPr>
        <w:keepNext w:val="0"/>
        <w:keepLines w:val="0"/>
        <w:spacing w:before="0" w:after="0" w:line="480" w:lineRule="auto"/>
        <w:jc w:val="left"/>
      </w:pPr>
      <w:r>
        <w:rPr>
          <w:rFonts w:ascii="Times New Roman" w:hAnsi="Times New Roman" w:eastAsia="Times New Roman" w:cs="Times New Roman"/>
          <w:sz w:val="24"/>
        </w:rPr>
        <w:t>The supplemental tables are supplied in UTI_HostOmics_mSystems_Table_S1-S10.xlsx.</w:t>
      </w:r>
    </w:p>
    <w:p>
      <w:pPr>
        <w:keepNext w:val="0"/>
        <w:keepLines w:val="0"/>
        <w:spacing w:before="0" w:after="0" w:line="480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Table S1.</w:t>
      </w:r>
      <w:r>
        <w:rPr>
          <w:rFonts w:ascii="Times New Roman" w:hAnsi="Times New Roman" w:eastAsia="Times New Roman" w:cs="Times New Roman"/>
          <w:sz w:val="24"/>
        </w:rPr>
        <w:t xml:space="preserve"> Dataset architecture, sample design, metadata reconciliation, and analytical roles for GSE112098, GSE186800, GSE252321, and GSE280297.</w:t>
      </w:r>
    </w:p>
    <w:p>
      <w:pPr>
        <w:keepNext w:val="0"/>
        <w:keepLines w:val="0"/>
        <w:spacing w:before="0" w:after="0" w:line="480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Table S2.</w:t>
      </w:r>
      <w:r>
        <w:rPr>
          <w:rFonts w:ascii="Times New Roman" w:hAnsi="Times New Roman" w:eastAsia="Times New Roman" w:cs="Times New Roman"/>
          <w:sz w:val="24"/>
        </w:rPr>
        <w:t xml:space="preserve"> Seventy-eight-submodule library organized across ten endocrine, metabolic, complement, and immune axes.</w:t>
      </w:r>
    </w:p>
    <w:p>
      <w:pPr>
        <w:keepNext w:val="0"/>
        <w:keepLines w:val="0"/>
        <w:spacing w:before="0" w:after="0" w:line="480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Table S3.</w:t>
      </w:r>
      <w:r>
        <w:rPr>
          <w:rFonts w:ascii="Times New Roman" w:hAnsi="Times New Roman" w:eastAsia="Times New Roman" w:cs="Times New Roman"/>
          <w:sz w:val="24"/>
        </w:rPr>
        <w:t xml:space="preserve"> Dataset-specific module effects and adjusted or factorial contrasts.</w:t>
      </w:r>
    </w:p>
    <w:p>
      <w:pPr>
        <w:keepNext w:val="0"/>
        <w:keepLines w:val="0"/>
        <w:spacing w:before="0" w:after="0" w:line="480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Table S4.</w:t>
      </w:r>
      <w:r>
        <w:rPr>
          <w:rFonts w:ascii="Times New Roman" w:hAnsi="Times New Roman" w:eastAsia="Times New Roman" w:cs="Times New Roman"/>
          <w:sz w:val="24"/>
        </w:rPr>
        <w:t xml:space="preserve"> Cross-context recurrence and directional-concordance synthesis.</w:t>
      </w:r>
    </w:p>
    <w:p>
      <w:pPr>
        <w:keepNext w:val="0"/>
        <w:keepLines w:val="0"/>
        <w:spacing w:before="0" w:after="0" w:line="480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Table S5.</w:t>
      </w:r>
      <w:r>
        <w:rPr>
          <w:rFonts w:ascii="Times New Roman" w:hAnsi="Times New Roman" w:eastAsia="Times New Roman" w:cs="Times New Roman"/>
          <w:sz w:val="24"/>
        </w:rPr>
        <w:t xml:space="preserve"> GSE280297 pregnancy-, tissue-, and outcome-specific module effects.</w:t>
      </w:r>
    </w:p>
    <w:p>
      <w:pPr>
        <w:keepNext w:val="0"/>
        <w:keepLines w:val="0"/>
        <w:spacing w:before="0" w:after="0" w:line="480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Table S6.</w:t>
      </w:r>
      <w:r>
        <w:rPr>
          <w:rFonts w:ascii="Times New Roman" w:hAnsi="Times New Roman" w:eastAsia="Times New Roman" w:cs="Times New Roman"/>
          <w:sz w:val="24"/>
        </w:rPr>
        <w:t xml:space="preserve"> GSE252321 quality control, cluster markers, broad populations, and refined immune states.</w:t>
      </w:r>
    </w:p>
    <w:p>
      <w:pPr>
        <w:keepNext w:val="0"/>
        <w:keepLines w:val="0"/>
        <w:spacing w:before="0" w:after="0" w:line="480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Table S7.</w:t>
      </w:r>
      <w:r>
        <w:rPr>
          <w:rFonts w:ascii="Times New Roman" w:hAnsi="Times New Roman" w:eastAsia="Times New Roman" w:cs="Times New Roman"/>
          <w:sz w:val="24"/>
        </w:rPr>
        <w:t xml:space="preserve"> Broad-cell and refined-state pseudobulk module localization.</w:t>
      </w:r>
    </w:p>
    <w:p>
      <w:pPr>
        <w:keepNext w:val="0"/>
        <w:keepLines w:val="0"/>
        <w:spacing w:before="0" w:after="0" w:line="480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Table S8.</w:t>
      </w:r>
      <w:r>
        <w:rPr>
          <w:rFonts w:ascii="Times New Roman" w:hAnsi="Times New Roman" w:eastAsia="Times New Roman" w:cs="Times New Roman"/>
          <w:sz w:val="24"/>
        </w:rPr>
        <w:t xml:space="preserve"> Complement-stage and endocrine-metabolic cellular attribution.</w:t>
      </w:r>
    </w:p>
    <w:p>
      <w:pPr>
        <w:keepNext w:val="0"/>
        <w:keepLines w:val="0"/>
        <w:spacing w:before="0" w:after="0" w:line="480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Table S9.</w:t>
      </w:r>
      <w:r>
        <w:rPr>
          <w:rFonts w:ascii="Times New Roman" w:hAnsi="Times New Roman" w:eastAsia="Times New Roman" w:cs="Times New Roman"/>
          <w:sz w:val="24"/>
        </w:rPr>
        <w:t xml:space="preserve"> Figure source-value and panel-provenance registry.</w:t>
      </w:r>
    </w:p>
    <w:p>
      <w:pPr>
        <w:keepNext w:val="0"/>
        <w:keepLines w:val="0"/>
        <w:spacing w:before="0" w:after="0" w:line="480" w:lineRule="auto"/>
        <w:jc w:val="left"/>
      </w:pPr>
      <w:r>
        <w:rPr>
          <w:rFonts w:ascii="Times New Roman" w:hAnsi="Times New Roman" w:eastAsia="Times New Roman" w:cs="Times New Roman"/>
          <w:b/>
          <w:sz w:val="24"/>
        </w:rPr>
        <w:t>Table S10.</w:t>
      </w:r>
      <w:r>
        <w:rPr>
          <w:rFonts w:ascii="Times New Roman" w:hAnsi="Times New Roman" w:eastAsia="Times New Roman" w:cs="Times New Roman"/>
          <w:sz w:val="24"/>
        </w:rPr>
        <w:t xml:space="preserve"> Sensitivity analyses and result-to-source concordance.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