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Host-Pathogen Transcriptomic Transportability Project</w:t>
      </w:r>
    </w:p>
    <w:p>
      <w:pPr>
        <w:pStyle w:val="BodyText"/>
      </w:pPr>
      <w:r>
        <w:rPr>
          <w:b/>
          <w:bCs/>
        </w:rPr>
        <w:t xml:space="preserve">Governing document:</w:t>
      </w:r>
      <w:r>
        <w:t xml:space="preserve"> </w:t>
      </w:r>
      <w:r>
        <w:t xml:space="preserve">Use the uploaded document entitled</w:t>
      </w:r>
      <w:r>
        <w:t xml:space="preserve"> </w:t>
      </w:r>
      <w:r>
        <w:rPr>
          <w:i/>
          <w:iCs/>
        </w:rPr>
        <w:t xml:space="preserve">Protocol for a Cross-Cohort Host-Pathogen Transcriptomics Project: Conserved and pathogen-ecology-specific whole-blood immune-metabolic programs across acute bacterial and viral infections</w:t>
      </w:r>
      <w:r>
        <w:t xml:space="preserve"> </w:t>
      </w:r>
      <w:r>
        <w:t xml:space="preserve">as the governing protocol for this project.</w:t>
      </w:r>
    </w:p>
    <w:p>
      <w:pPr>
        <w:pStyle w:val="BodyText"/>
      </w:pPr>
      <w:r>
        <w:rPr>
          <w:b/>
          <w:bCs/>
        </w:rPr>
        <w:t xml:space="preserve">Core mission:</w:t>
      </w:r>
      <w:r>
        <w:t xml:space="preserve"> </w:t>
      </w:r>
      <w:r>
        <w:t xml:space="preserve">Conduct a rigorous, reproducible public-data transcriptomics study identifying conserved versus pathogen-ecology-specific whole-blood immune-metabolic programs across acute bacterial and viral infections, using pathway/module locking and independent external transportability testing.</w:t>
      </w:r>
    </w:p>
    <w:p>
      <w:pPr>
        <w:pStyle w:val="BodyText"/>
      </w:pPr>
      <w:r>
        <w:rPr>
          <w:b/>
          <w:bCs/>
        </w:rPr>
        <w:t xml:space="preserve">Project boundaries:</w:t>
      </w:r>
      <w:r>
        <w:t xml:space="preserve"> </w:t>
      </w:r>
      <w:r>
        <w:t xml:space="preserve">This project is separate from the TB-undernutrition transcriptomics study and all other manuscripts. It is not intended to develop another primary bacterial-versus-viral diagnostic classifier. Its primary scientific purpose is to understand conserved versus context-specific host-response biology.</w:t>
      </w:r>
    </w:p>
    <w:p>
      <w:pPr>
        <w:pStyle w:val="BodyText"/>
      </w:pPr>
      <w:r>
        <w:rPr>
          <w:b/>
          <w:bCs/>
        </w:rPr>
        <w:t xml:space="preserve">Prespecified dataset roles: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GSE211567:</w:t>
      </w:r>
      <w:r>
        <w:t xml:space="preserve"> </w:t>
      </w:r>
      <w:r>
        <w:t xml:space="preserve">primary scientific discovery cohort and internal context-concordance analysis resource.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GSE161731:</w:t>
      </w:r>
      <w:r>
        <w:t xml:space="preserve"> </w:t>
      </w:r>
      <w:r>
        <w:t xml:space="preserve">primary adult external transportability cohort; it may be used earlier only for technical mastery of the count-level RNA-seq workflow without selecting biological modules.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GSE261482:</w:t>
      </w:r>
      <w:r>
        <w:t xml:space="preserve"> </w:t>
      </w:r>
      <w:r>
        <w:t xml:space="preserve">exploratory pediatric generalizability extension after the discovery-defined modules are frozen.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GSE282464:</w:t>
      </w:r>
      <w:r>
        <w:t xml:space="preserve"> </w:t>
      </w:r>
      <w:r>
        <w:t xml:space="preserve">conditional extension only after metadata, sample-composition and independence audits are resolved.</w:t>
      </w:r>
    </w:p>
    <w:p>
      <w:pPr>
        <w:pStyle w:val="FirstParagraph"/>
      </w:pPr>
      <w:r>
        <w:rPr>
          <w:b/>
          <w:bCs/>
        </w:rPr>
        <w:t xml:space="preserve">Mandatory analytical safeguards:</w:t>
      </w:r>
    </w:p>
    <w:p>
      <w:pPr>
        <w:pStyle w:val="Compact"/>
        <w:numPr>
          <w:ilvl w:val="0"/>
          <w:numId w:val="1002"/>
        </w:numPr>
      </w:pPr>
      <w:r>
        <w:t xml:space="preserve">Complete a formal metadata and file-availability audit before biological inference.</w:t>
      </w:r>
    </w:p>
    <w:p>
      <w:pPr>
        <w:pStyle w:val="Compact"/>
        <w:numPr>
          <w:ilvl w:val="0"/>
          <w:numId w:val="1002"/>
        </w:numPr>
      </w:pPr>
      <w:r>
        <w:t xml:space="preserve">Maintain a documented GitHub version-control and decision-log workflow.</w:t>
      </w:r>
    </w:p>
    <w:p>
      <w:pPr>
        <w:pStyle w:val="Compact"/>
        <w:numPr>
          <w:ilvl w:val="0"/>
          <w:numId w:val="1002"/>
        </w:numPr>
      </w:pPr>
      <w:r>
        <w:t xml:space="preserve">Do not select, reweight or reorient modules using external-cohort results.</w:t>
      </w:r>
    </w:p>
    <w:p>
      <w:pPr>
        <w:pStyle w:val="Compact"/>
        <w:numPr>
          <w:ilvl w:val="0"/>
          <w:numId w:val="1002"/>
        </w:numPr>
      </w:pPr>
      <w:r>
        <w:t xml:space="preserve">Freeze module definitions before interpreting adult or pediatric external testing.</w:t>
      </w:r>
    </w:p>
    <w:p>
      <w:pPr>
        <w:pStyle w:val="Compact"/>
        <w:numPr>
          <w:ilvl w:val="0"/>
          <w:numId w:val="1002"/>
        </w:numPr>
      </w:pPr>
      <w:r>
        <w:t xml:space="preserve">Apply an assay/feature-portability audit before external module scoring.</w:t>
      </w:r>
    </w:p>
    <w:p>
      <w:pPr>
        <w:pStyle w:val="Compact"/>
        <w:numPr>
          <w:ilvl w:val="0"/>
          <w:numId w:val="1002"/>
        </w:numPr>
      </w:pPr>
      <w:r>
        <w:t xml:space="preserve">Report negative, discordant or nontransportable findings honestly rather than modifying the study post hoc.</w:t>
      </w:r>
    </w:p>
    <w:p>
      <w:pPr>
        <w:pStyle w:val="Compact"/>
        <w:numPr>
          <w:ilvl w:val="0"/>
          <w:numId w:val="1002"/>
        </w:numPr>
      </w:pPr>
      <w:r>
        <w:t xml:space="preserve">Interpret whole-blood modules as systemic transcriptional programs unless additional analyses directly justify a more specific mechanism.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2026-05-29T19:57:03Z</dcterms:created>
  <dcterms:modified xsi:type="dcterms:W3CDTF">2026-05-29T19:57:03Z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