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5D23" w14:textId="77777777" w:rsidR="00321CC5" w:rsidRDefault="00000000">
      <w:pPr>
        <w:jc w:val="center"/>
      </w:pPr>
      <w:r>
        <w:t>Single-cell transcriptomics reveals a cross-cohort decidual inflammatory macrophage/APC signature in recurrent pregnancy loss</w:t>
      </w:r>
    </w:p>
    <w:p w14:paraId="0A7FD3B2" w14:textId="77777777" w:rsidR="00321CC5" w:rsidRDefault="00000000">
      <w:pPr>
        <w:jc w:val="center"/>
      </w:pPr>
      <w:r>
        <w:t>Short title: Cross-cohort decidual inflammatory macrophage/APC signature in RPL</w:t>
      </w:r>
    </w:p>
    <w:p w14:paraId="64E90E2E" w14:textId="77777777" w:rsidR="00321CC5" w:rsidRDefault="00000000">
      <w:pPr>
        <w:jc w:val="center"/>
      </w:pPr>
      <w:r>
        <w:t>Article type: Research Article</w:t>
      </w:r>
    </w:p>
    <w:p w14:paraId="5BD1F598" w14:textId="77777777" w:rsidR="00321CC5" w:rsidRDefault="00000000">
      <w:pPr>
        <w:jc w:val="center"/>
      </w:pPr>
      <w:r>
        <w:t>Reuben S. Maghembe1,2*</w:t>
      </w:r>
    </w:p>
    <w:p w14:paraId="20C79DDD" w14:textId="77777777" w:rsidR="00321CC5" w:rsidRDefault="00000000">
      <w:pPr>
        <w:jc w:val="center"/>
      </w:pPr>
      <w:r>
        <w:t>1Department of Microbiology and Parasitology, Faculty of Medicine, St. Francis University College of Health and Allied Sciences, Ifakara, Tanzania</w:t>
      </w:r>
    </w:p>
    <w:p w14:paraId="24FFF25E" w14:textId="77777777" w:rsidR="00321CC5" w:rsidRDefault="00000000">
      <w:pPr>
        <w:jc w:val="center"/>
      </w:pPr>
      <w:r>
        <w:t>2Department of Omics and Computational Biology, AfroBiomics Co. Ltd., Bridge Street, Samora Tower, Kivukoni, Dar es Salaam, Tanzania</w:t>
      </w:r>
    </w:p>
    <w:p w14:paraId="0A01B3C7" w14:textId="77777777" w:rsidR="00321CC5" w:rsidRDefault="00000000">
      <w:pPr>
        <w:jc w:val="center"/>
      </w:pPr>
      <w:r>
        <w:t>*Corresponding author: Reuben S. Maghembe</w:t>
      </w:r>
    </w:p>
    <w:p w14:paraId="7E5A9289" w14:textId="77777777" w:rsidR="00321CC5" w:rsidRDefault="00000000">
      <w:pPr>
        <w:jc w:val="center"/>
      </w:pPr>
      <w:r>
        <w:t>Email: rmaghembe@gmail.com; rmaghembe@sfuchas.ac.tz</w:t>
      </w:r>
    </w:p>
    <w:p w14:paraId="73B48947" w14:textId="77777777" w:rsidR="00321CC5" w:rsidRDefault="00000000">
      <w:pPr>
        <w:pStyle w:val="Heading1"/>
      </w:pPr>
      <w:r>
        <w:t>Abstract</w:t>
      </w:r>
    </w:p>
    <w:p w14:paraId="70035E34" w14:textId="77777777" w:rsidR="00321CC5" w:rsidRDefault="00000000">
      <w:r>
        <w:t>Recurrent pregnancy loss is a clinically heterogeneous reproductive disorder and a major reproductive-health problem. A substantial fraction of affected patients remain without a definitive explanation after evaluation for chromosomal, anatomical, endocrine, thrombotic and immune contributors, while public transcriptomic studies remain difficult to compare because decidual bulk profiles mix cell abundance, cell state and sampling differences. Here, we used a single-cell transcriptomic cross-cohort recurrence design to test whether recurrent-miscarriage-associated tissue-state signatures derived from a disease single-cell/pseudobulk reference recur across independent bulk decidua cohorts. GSE214607 was used to derive compact projection-ready signatures from first-trimester decidua and villi samples. Four signatures were projected into three independent bulk decidua datasets, GSE161969, GSE113790 and GSE178535, using within-cohort standardized expression and mean signature scoring. The primary recurrent-miscarriage decidual inflammatory macrophage/APC signature showed complete 30-gene coverage in all three external cohorts and positive case-associated shifts in each dataset. Cohort-level deltas were +1.019, +0.282 and +0.941, giving a mean delta of +0.747 and positive directional recurrence in 3/3 cohorts. Secondary decidua immune-stromal, villi trophoblast/epithelial and recurrent-miscarriage villi structural/trophoblast signatures showed weaker, modest or context-dependent behaviour. These findings support exploratory cross-cohort signature recurrence of an inflammatory decidual macrophage/APC tissue-state axis in recurrent pregnancy loss. The result is observational and hypothesis-generating; it does not establish causality, diagnostic performance, clinical utility or standalone biomarker validation.</w:t>
      </w:r>
    </w:p>
    <w:p w14:paraId="4C41E302" w14:textId="77777777" w:rsidR="00321CC5" w:rsidRDefault="00000000">
      <w:pPr>
        <w:pStyle w:val="Heading1"/>
      </w:pPr>
      <w:r>
        <w:t>Introduction</w:t>
      </w:r>
    </w:p>
    <w:p w14:paraId="16AE8FC8" w14:textId="77777777" w:rsidR="00321CC5" w:rsidRDefault="00000000">
      <w:r>
        <w:t>Infertility and pregnancy loss impose substantial clinical, psychological and societal burdens. The World Health Organization estimates infertility as a common global reproductive-health condition, while recurrent pregnancy loss (RPL) represents a distinct clinical problem requiring its own evaluation and management pathway [1-3]. Contemporary guidelines differ in definitions and thresholds, but both ESHRE and ASRM emphasize the heterogeneity of RPL and the need to evaluate established contributors such as genetic abnormalities, uterine factors, endocrine disease, antiphospholipid syndrome and other maternal or embryonic causes [2,3]. Beyond these recognized categories, miscarriage and recurrent miscarriage also carry physical, psychological and future obstetric consequences, making mechanistic understanding of early pregnancy failure a human-health priority rather than a narrow fertility issue [4,5].</w:t>
      </w:r>
    </w:p>
    <w:p w14:paraId="41CEAD25" w14:textId="77777777" w:rsidR="00321CC5" w:rsidRDefault="00000000">
      <w:r>
        <w:t>The early maternal-fetal interface provides a biologically plausible site for unexplained or incompletely explained pregnancy loss. Human decidualization transforms endometrial stromal fibroblasts into specialized decidual cells, coordinates glandular and vascular remodelling, and creates a tissue matrix in which immune competence must coexist with tolerance of fetal trophoblast [6,7]. Single-cell atlases of first-trimester decidua and placenta have shown that this interface is a structured multicellular ecosystem containing decidual stromal cells, macrophages, natural killer cells, T cells, endothelial and mural cells, epithelial compartments and invading trophoblasts [8,9]. Trophoblast-decidual immune crosstalk, local trophoblast recognition by uterine immune cells and regulatory T-cell signatures are therefore central to early placentation and immune balance [10-13].</w:t>
      </w:r>
    </w:p>
    <w:p w14:paraId="30D534D7" w14:textId="77777777" w:rsidR="00321CC5" w:rsidRDefault="00000000">
      <w:r>
        <w:t>RPL has repeatedly been linked to immune dysregulation, but the direction, cellular basis and translational meaning of immune signals remain unresolved. Single-cell and immune-profiling studies have reported altered distributions of decidual leukocyte subsets in RPL, unexplained RPL and recurrent miscarriage, including changes in NK-cell, T-cell and myeloid compartments [14-17]. Decidual macrophages are particularly relevant because they participate in phagocytosis, tissue remodelling, angiogenesis, trophoblast interaction, cytokine production and immune regulation [18,22,23]. Disease-focused studies have associated RPL or recurrent spontaneous abortion with altered decidual macrophage states, CCR1+ macrophage dysfunction, M1-like polarization and macrophage-related diagnostic signatures [18-21,30]. Complement-associated macrophage biology is also plausible at the maternal-fetal interface because C1q and complement-related pathways contribute to implantation-site inflammation, trophoblast invasion and tissue remodelling, although excessive or mislocalized complement activity can be harmful [24-27].</w:t>
      </w:r>
    </w:p>
    <w:p w14:paraId="7E58F21F" w14:textId="77777777" w:rsidR="00321CC5" w:rsidRDefault="00000000">
      <w:r>
        <w:t>Despite this biological rationale, public transcriptomic evidence remains hard to integrate. Bulk decidual RNA profiles can detect disease-associated expression differences, but they cannot directly distinguish increased macrophage abundance from macrophage activation, altered decidual stromal composition, trophoblast admixture, tissue injury or platform-specific artefact. Many public RPL studies are small, and single-cohort differential-expression lists may not recur across datasets [31-36]. Single-cell-derived signature projection offers an intermediate strategy: derive interpretable signatures from a cellular reference, then test whether those signatures recur directionally across independent bulk cohorts. This approach is different from diagnostic classifier construction; it evaluates whether a biologically coherent tissue-state axis is detectable beyond the discovery dataset.</w:t>
      </w:r>
    </w:p>
    <w:p w14:paraId="354D7D2F" w14:textId="77777777" w:rsidR="00321CC5" w:rsidRDefault="00000000">
      <w:r>
        <w:t>The present study addresses this gap by testing the cross-cohort recurrence of GSE214607-derived recurrent-miscarriage and tissue-context signatures across three independent bulk decidua cohorts. The aims were: first, to derive compact and interpretable projection-ready signatures from a disease single-cell/pseudobulk reference; second, to determine whether these signatures show adequate gene coverage when projected into independent bulk decidua datasets; and third, to assess whether a recurrent-miscarriage decidual inflammatory macrophage/APC signature shows concordant case-associated recurrence across cohorts. Figure 1 summarizes the workflow, Table 1 summarizes the datasets, and Supplementary Table S1 documents metadata inclusion.</w:t>
      </w:r>
    </w:p>
    <w:p w14:paraId="78C83988" w14:textId="77777777" w:rsidR="00321CC5" w:rsidRDefault="00000000">
      <w:pPr>
        <w:pStyle w:val="Heading1"/>
      </w:pPr>
      <w:r>
        <w:t>Materials and Methods</w:t>
      </w:r>
    </w:p>
    <w:p w14:paraId="3453FEDB" w14:textId="77777777" w:rsidR="00321CC5" w:rsidRDefault="00000000">
      <w:r>
        <w:t>This was a retrospective computational reanalysis of public de-identified transcriptomic datasets. No new participants were recruited, and no new identifiable human data were generated. The analysis was designed around cross-cohort signature recurrence rather than biomarker discovery or diagnostic classification. The overall workflow is summarized in Fig. 1.</w:t>
      </w:r>
    </w:p>
    <w:p w14:paraId="1564F97E" w14:textId="77777777" w:rsidR="00321CC5" w:rsidRDefault="00000000">
      <w:r>
        <w:t xml:space="preserve">GSE214607 was used as the primary disease single-cell reference because it contains first-trimester decidua and villi samples from control and recurrent-miscarriage groups and was originally generated to explore </w:t>
      </w:r>
      <w:r>
        <w:lastRenderedPageBreak/>
        <w:t>macrophage-associated recurrent miscarriage signals [28-30]. Raw 10x Genomics matrix files were imported as sparse count matrices, checked for matrix/barcode/feature consistency and assigned to control decidua, recurrent-miscarriage decidua, control villi or recurrent-miscarriage villi categories. Per-cell quality-control metrics included total counts and detected genes. Cells passing predefined feature thresholds were retained for sample-level aggregation.</w:t>
      </w:r>
    </w:p>
    <w:p w14:paraId="5DC419C2" w14:textId="77777777" w:rsidR="00321CC5" w:rsidRDefault="00000000">
      <w:r>
        <w:t>To avoid pseudoreplication, retained GSE214607 cells were aggregated into sample-level pseudobulk profiles by summing counts within each sample. Library-size-normalized log2 counts per million were then calculated. Pseudobulk aggregation was used for signature derivation because cells from the same individual are not independent biological replicates and single-cell differential-expression procedures can underestimate variance if sample structure is ignored [37,38]. The pseudobulk profiles were used only to derive exploratory signatures and not to make formal differential-expression claims.</w:t>
      </w:r>
    </w:p>
    <w:p w14:paraId="471D1027" w14:textId="77777777" w:rsidR="00321CC5" w:rsidRDefault="00000000">
      <w:r>
        <w:t>Candidate signatures were derived from three contrast families: recurrent-miscarriage decidua versus control decidua, recurrent-miscarriage villi versus control villi and decidua versus villi. Candidate genes were ranked by direction and magnitude of expression shift. Lists were then filtered for interpretability: low-information noncoding, housekeeping, ribosomal, mitochondrial and technical features were excluded unless they had explicit maternal-fetal-interface relevance. The final projection-ready framework retained four 30-gene signatures: a recurrent-miscarriage decidual inflammatory macrophage/APC signature, a decidua immune-stromal identity signature, a villi trophoblast/epithelial identity signature and a recurrent-miscarriage villi structural/trophoblast signature (Table 2; Supplementary Table S2).</w:t>
      </w:r>
    </w:p>
    <w:p w14:paraId="4101787E" w14:textId="77777777" w:rsidR="00321CC5" w:rsidRDefault="00000000">
      <w:r>
        <w:t>Three external bulk decidua datasets were used for projection: GSE161969, GSE113790 and GSE178535 [31-36]. GSE161969 was processed from a public gene-symbol FPKM matrix and transformed as log2(FPKM + 1). GSE113790 was imported as a processed FPKM expression matrix and curated at the gene-symbol level. GSE178535 was analysed from its public normalized log2 expression matrix. Sample labels were manually curated to harmonize control and RPL/RSA case categories while preserving dataset-specific terminology (Supplementary Table S1).</w:t>
      </w:r>
    </w:p>
    <w:p w14:paraId="707848D2" w14:textId="77777777" w:rsidR="00321CC5" w:rsidRDefault="00000000">
      <w:r>
        <w:t>For each cohort and signature, genes were intersected with the cohort expression matrix, and coverage was recorded before scoring. Within each cohort, each gene was standardized across samples. Signature scores were then calculated as the mean standardized expression of the matched signature genes. This simple mean-z scoring was chosen to preserve interpretability and avoid cross-platform absolute-expression assumptions; related single-sample gene-set approaches use analogous logic to summarize coordinated expression at the sample level [39].</w:t>
      </w:r>
    </w:p>
    <w:p w14:paraId="518E9254" w14:textId="77777777" w:rsidR="00321CC5" w:rsidRDefault="00000000">
      <w:r>
        <w:t>Cross-cohort recurrence was evaluated using technical coverage, case-minus-control signature-score deltas and directional concordance. Complete or near-complete signature coverage was required for confident interpretation. For each signature and dataset, mean scores were calculated for controls and cases, and case-minus-control deltas were computed. Directional recurrence was defined as a consistent sign of case-associated shift across cohorts. Wilcoxon rank-sum tests and Benjamini-Hochberg-adjusted values were calculated descriptively but were not used as the primary criterion because the external cohorts were small [40]. Full projection-score and metadata files are listed in Supplementary Tables S2-S4.</w:t>
      </w:r>
    </w:p>
    <w:p w14:paraId="65908C09" w14:textId="77777777" w:rsidR="00321CC5" w:rsidRDefault="00000000">
      <w:pPr>
        <w:pStyle w:val="Heading1"/>
      </w:pPr>
      <w:r>
        <w:t>Results</w:t>
      </w:r>
    </w:p>
    <w:p w14:paraId="75592835" w14:textId="77777777" w:rsidR="00321CC5" w:rsidRDefault="00000000">
      <w:r>
        <w:t>The analysis integrated one disease single-cell/pseudobulk reference and three independent bulk decidua cohorts. GSE214607 provided the signature-derivation reference, while GSE161969, GSE113790 and GSE178535 provided independent projection settings (Table 1; Fig. 1). The use of three external cohorts allowed the study to prioritize directional recurrence across independent datasets rather than within-dataset statistical significance.</w:t>
      </w:r>
    </w:p>
    <w:p w14:paraId="78686B84" w14:textId="77777777" w:rsidR="00321CC5" w:rsidRDefault="00000000">
      <w:r>
        <w:t>Pseudobulk contrasts from GSE214607 generated both recurrent-miscarriage-associated and tissue-context signatures. After interpretability filtering, four compact signatures were retained (Table 2). The recurrent-miscarriage decidual inflammatory macrophage/APC signature was designated the primary signature because it was derived from the disease-associated decidual contrast and included coherent myeloid, antigen-presentation and complement-associated genes. The signature included HLA-DRA, HLA-DPA1, HLA-DPB1, CD74, S100A8, S100A9, AIF1, MS4A7, C1QA, C1QB, C1QC, CTSZ, SPP1 and GRN, supporting interpretation as a macrophage/APC-rich inflammatory tissue-state signature rather than an arbitrary gene list (Table 2; Supplementary Table S2; Fig. 2).</w:t>
      </w:r>
    </w:p>
    <w:p w14:paraId="58F1A74E" w14:textId="77777777" w:rsidR="00321CC5" w:rsidRDefault="00000000">
      <w:r>
        <w:t>The primary macrophage/APC signature showed complete technical coverage in all external bulk cohorts. All 30 genes were detected in GSE161969, GSE113790 and GSE178535, supporting reliable projection across different processed expression matrices. Secondary signatures also had high coverage, but the macrophage/APC signature was the most technically robust primary disease-associated signature (Supplementary Table S3; Supplementary Fig. 1).</w:t>
      </w:r>
    </w:p>
    <w:p w14:paraId="49AC3B05" w14:textId="77777777" w:rsidR="00321CC5" w:rsidRDefault="00000000">
      <w:r>
        <w:t>The macrophage/APC signature showed a positive case-associated shift in all three external cohorts. The case-minus-control delta was +1.019 in GSE161969, +0.282 in GSE113790 and +0.941 in GSE178535. This yielded positive directional recurrence in 3/3 cohorts, a mean delta of +0.747 and a median delta of +0.941 (Table 3; Fig. 3). Because the cohorts were small, this result is interpreted as exploratory directional recurrence rather than a validated diagnostic effect. Nevertheless, the consistency of direction across three datasets supports cross-cohort signature recurrence of the decidual inflammatory macrophage/APC axis.</w:t>
      </w:r>
    </w:p>
    <w:p w14:paraId="6F6106EE" w14:textId="77777777" w:rsidR="00321CC5" w:rsidRDefault="00000000">
      <w:r>
        <w:t>Secondary signatures showed weaker or context-dependent behaviour. The decidua immune-stromal identity signature was positive in all three cohorts but with smaller deltas (+0.573, +0.206 and +0.031). The villi trophoblast/epithelial identity signature showed modest positive shifts (+0.134, +0.406 and +0.156), while the recurrent-miscarriage villi structural/trophoblast signature was mixed (-0.097, +0.245 and -0.007). Thus, not all GSE214607-derived signatures showed the same behaviour in decidua-focused external cohorts (Table 3; Fig. 4). This pattern supports tissue-context-aware interpretation and argues against a nonspecific projection artefact shared equally by all signatures.</w:t>
      </w:r>
    </w:p>
    <w:p w14:paraId="7853C9AD" w14:textId="77777777" w:rsidR="00321CC5" w:rsidRDefault="00000000">
      <w:r>
        <w:t>Together, the results identify a single-cell-derived recurrent-miscarriage decidual inflammatory macrophage/APC signature with complete 30-gene coverage and positive directional recurrence across three independent bulk decidua cohorts. The main result is a reproducible tissue-state signal, not a causal proof, clinical diagnostic model or biomarker validation. Intermediate single-cohort and two-cohort analyses are retained for reproducibility in Supplementary Fig. 2.</w:t>
      </w:r>
    </w:p>
    <w:p w14:paraId="416CDD5F" w14:textId="77777777" w:rsidR="00321CC5" w:rsidRDefault="00000000">
      <w:pPr>
        <w:pStyle w:val="Heading1"/>
      </w:pPr>
      <w:r>
        <w:t>Discussion</w:t>
      </w:r>
    </w:p>
    <w:p w14:paraId="0875522B" w14:textId="77777777" w:rsidR="00321CC5" w:rsidRDefault="00000000">
      <w:r>
        <w:t>This study provides exploratory evidence that a GSE214607-derived recurrent-miscarriage decidual inflammatory macrophage/APC signature is directionally recurrent across cohorts across three independent bulk decidua cohorts. The study was designed to answer a conservative reproducibility question: does an interpretable single-cell-derived tissue-state signature recur across datasets, tissues and preprocessing contexts? The answer was strongest for the macrophage/APC signature, which showed complete gene coverage and positive case-associated shifts in GSE161969, GSE113790 and GSE178535. This directly addresses the first and second aims by demonstrating that compact signature derivation and technically robust projection are feasible, and addresses the third aim by showing concordant cross-cohort recurrence of the primary inflammatory myeloid signature.</w:t>
      </w:r>
    </w:p>
    <w:p w14:paraId="17DDE822" w14:textId="77777777" w:rsidR="00321CC5" w:rsidRDefault="00000000">
      <w:r>
        <w:lastRenderedPageBreak/>
        <w:t>Scientifically, the result fits a growing literature in which RPL is viewed not only as an embryonic or anatomical problem but also as a disorder that may involve disturbed decidual immune balance. Guidelines emphasize that RPL is clinically heterogeneous and that many cases remain unexplained after standard evaluation [2,3]. The Lancet miscarriage series further frames recurrent miscarriage as a high-burden condition that requires better biological understanding and improved care pathways [4,5]. The present data do not redefine RPL clinically, but they add a reproducible transcriptomic tissue-state observation that may help organize future mechanistic work.</w:t>
      </w:r>
    </w:p>
    <w:p w14:paraId="371F0FC8" w14:textId="77777777" w:rsidR="00321CC5" w:rsidRDefault="00000000">
      <w:r>
        <w:t>The macrophage/APC signature is biologically plausible because macrophages are positioned at the interface between immune tolerance, tissue repair, trophoblast interaction, angiogenesis and inflammation. Single-cell studies of normal early pregnancy show that decidua contains diverse immune and stromal populations whose interactions are essential for successful placentation [8-11]. Disease-focused single-cell and immune-profiling studies have independently reported altered decidual leukocyte states in RPL or unexplained RPL, including myeloid, NK-cell and T-cell alterations [14-17]. The current finding is therefore similar in direction to published immune-landscape studies: it supports the presence of an altered decidual immune tissue state. Its specific contribution is methodological and cross-dataset: it shows that a compact macrophage/APC signature can be projected and recovered across three independent bulk cohorts rather than inferred from one dataset alone.</w:t>
      </w:r>
    </w:p>
    <w:p w14:paraId="3DAD44AC" w14:textId="77777777" w:rsidR="00321CC5" w:rsidRDefault="00000000">
      <w:r>
        <w:t>The signature also agrees with macrophage-focused RPL literature, but it should be interpreted carefully. Reviews and primary studies have emphasized that decidual macrophages cannot be reduced to a simple M1/M2 dichotomy and may adopt hybrid, context-dependent states [18,22,23]. CCR1+ macrophage dysfunction, M1-like macrophage polarization and impaired anti-inflammatory macrophage programming have been reported in RPL or recurrent spontaneous abortion contexts [19-21]. The present signature includes antigen-presentation genes, inflammatory myeloid markers and C1q-associated macrophage genes, so it is coherent with these reports. However, the bulk projection design cannot determine whether the signal reflects more macrophages, a different macrophage state, increased antigen presentation, complement-associated tissue remodelling or secondary response to tissue injury. This is a key difference from functional macrophage studies: our analysis supports recurrence of a signature, not the mechanism that generates it.</w:t>
      </w:r>
    </w:p>
    <w:p w14:paraId="3B304C3B" w14:textId="77777777" w:rsidR="00321CC5" w:rsidRDefault="00000000">
      <w:r>
        <w:t>Complement-related genes in the primary signature, especially C1QA, C1QB and C1QC, add biological interest. Complement pathways are active at the implantation site and can contribute to inflammation, trophoblast invasion, vascular remodelling and clearance of apoptotic material [24-26]. Recent decidual bioinformatics work has also linked complement/coagulation modules and macrophage abundance to RPL datasets [27]. The similarity is useful because it places the current C1q-containing macrophage/APC signature within a broader complement-inflammation literature. The difference is equally important: the current study does not claim that complement activation causes RPL or that C1q is independently pathogenic. C1q genes may mark macrophage identity, trophoblast/stromal interaction, tissue-remodelling macrophages or local innate immune activation, and these possibilities require spatial and protein-level validation.</w:t>
      </w:r>
    </w:p>
    <w:p w14:paraId="46E953CB" w14:textId="77777777" w:rsidR="00321CC5" w:rsidRDefault="00000000">
      <w:r>
        <w:t>Methodologically, the study contributes a cross-cohort recurrence-oriented way to reuse public reproductive transcriptomic data. Single-cell datasets provide cellular resolution but are often small, whereas bulk datasets provide independent cohorts but have mixed-cell composition. Pseudobulk summarization respects biological replication in single-cell analysis and reduces false confidence caused by treating cells as independent samples [37,38]. Mean standardized signature scoring is transparent and interpretable, and the use of directional concordance across three cohorts is appropriate for small public datasets where individual P values are unstable [39,40]. This differs from diagnostic classifier studies, including the original macrophage-marker model associated with GSE214607 [30]. The present analysis deliberately avoids claiming a predictive model and instead asks whether the biological signature itself recurs across cohorts.</w:t>
      </w:r>
    </w:p>
    <w:p w14:paraId="00405CDB" w14:textId="77777777" w:rsidR="00321CC5" w:rsidRDefault="00000000">
      <w:r>
        <w:t>The weaker behaviour of the secondary signatures is informative. If every GSE214607-derived signature shifted similarly across all external datasets, the result could reflect a nonspecific batch or disease-projection artefact. Instead, the decidua immune-stromal signature was positive but weaker, villi/trophoblast-related signatures were modest or mixed, and the macrophage/APC signature was the most consistent. This supports the interpretation that decidua-relevant inflammatory myeloid biology, rather than generic signature projection, drives the primary result. It also reinforces the importance of tissue context: a villi-derived signature should not necessarily recur strongly into decidua-enriched bulk cohorts.</w:t>
      </w:r>
    </w:p>
    <w:p w14:paraId="4036E353" w14:textId="77777777" w:rsidR="00321CC5" w:rsidRDefault="00000000">
      <w:r>
        <w:t>Translationally, the finding should be treated as a prioritization result. It nominates a decidual inflammatory macrophage/APC axis for future validation in larger, better annotated cohorts. Useful follow-up studies would include euploid versus aneuploid loss stratification, gestational-age matching, standardized tissue sampling, histopathology, fetal karyotype, endocrine and immune metadata, and prospective replication. Spatial transcriptomics, multiplex immunofluorescence, imaging mass cytometry or targeted immunohistochemistry could test whether the signature localizes to specific decidual niches and whether it reflects macrophage abundance, activation state, antigen-presentation activity, complement-associated remodelling or interaction with trophoblast and stromal compartments.</w:t>
      </w:r>
    </w:p>
    <w:p w14:paraId="14BBAF9D" w14:textId="77777777" w:rsidR="00321CC5" w:rsidRDefault="00000000">
      <w:r>
        <w:t>Several limitations remain. First, the external datasets are small, so the evidence rests on directionality across cohorts rather than cohort-level statistical validation. Second, public metadata are incomplete, and clinical labels such as RPL, RM, RSA and unexplained RSA may not represent identical biological entities. Third, bulk signature scores cannot distinguish cell abundance from cell state. Fourth, GSE214607 itself is small and disease-enriched, so derived signatures may capture disease-context signatures rather than universal macrophage identities. Fifth, the reference list and biological framing in v2 are broader than v1.1, but the central empirical result is unchanged: a 30-gene macrophage/APC signature shows positive recurrence across three cohorts.</w:t>
      </w:r>
    </w:p>
    <w:p w14:paraId="7F4CCE55" w14:textId="77777777" w:rsidR="00321CC5" w:rsidRDefault="00000000">
      <w:r>
        <w:t>In conclusion, this study identifies a single-cell-derived recurrent-miscarriage decidual inflammatory macrophage/APC signature that recurs directionally across three independent bulk decidua datasets. The revised evidence framework positions the result within RPL clinical burden, maternal-fetal-interface biology, decidual macrophage literature, complement-associated inflammation and public-data cross-cohort recurrence methodology. The finding is biologically coherent and methodologically useful, but it remains exploratory and should not be interpreted as causal, diagnostic or clinically actionable without independent spatial, protein-level and prospective validation.</w:t>
      </w:r>
    </w:p>
    <w:p w14:paraId="40948AD7" w14:textId="77777777" w:rsidR="00321CC5" w:rsidRDefault="00000000">
      <w:pPr>
        <w:pStyle w:val="Heading1"/>
      </w:pPr>
      <w:r>
        <w:t>Conclusion</w:t>
      </w:r>
    </w:p>
    <w:p w14:paraId="1D9F2C9B" w14:textId="77777777" w:rsidR="00321CC5" w:rsidRDefault="00000000">
      <w:r>
        <w:t>This study provides exploratory evidence that a single-cell-derived recurrent-miscarriage decidual inflammatory macrophage/APC signature recurs directionally across three independent bulk decidua transcriptomic cohorts. The finding supports the use of single-cell-derived cross-cohort signature analysis to identify reproducible tissue-state signatures in recurrent pregnancy loss. The macrophage/APC axis is biologically coherent and methodologically recurrent across cohorts, but it should not yet be considered causal, diagnostic or clinically actionable.</w:t>
      </w:r>
    </w:p>
    <w:p w14:paraId="7E7EE942" w14:textId="77777777" w:rsidR="00321CC5" w:rsidRDefault="00000000">
      <w:pPr>
        <w:pStyle w:val="Heading1"/>
      </w:pPr>
      <w:r>
        <w:t>Data Availability Statement</w:t>
      </w:r>
    </w:p>
    <w:p w14:paraId="65C77698" w14:textId="77777777" w:rsidR="00321CC5" w:rsidRDefault="00000000">
      <w:r>
        <w:t>Figure-caption support files, reproducibility-audit outputs and release documentation supporting manuscript assembly are summarized in Supplementary Table S4.</w:t>
      </w:r>
    </w:p>
    <w:p w14:paraId="301D9B88" w14:textId="77777777" w:rsidR="00321CC5" w:rsidRDefault="00000000">
      <w:r>
        <w:t>All datasets analysed in this study are publicly available from GEO or associated public sequence repositories under accession numbers GSE214607, SRP400574, GSE161969, SRP293708, GSE113790, SRP143517 and GSE178535. Derived signatures, curated metadata summaries, projection scores, cross-cohort recurrence summaries, figures, manuscript drafts, QC reports and reproducibility documentation are available at https://github.com/rmaghembe1/rpl-decidua-cross-cohort recurrence. Large raw downloads and regenerable intermediate objects are not redistributed because the source datasets remain publicly available.</w:t>
      </w:r>
    </w:p>
    <w:p w14:paraId="7AE482F9" w14:textId="77777777" w:rsidR="00321CC5" w:rsidRDefault="00000000">
      <w:pPr>
        <w:pStyle w:val="Heading1"/>
      </w:pPr>
      <w:r>
        <w:t>Author contributions</w:t>
      </w:r>
    </w:p>
    <w:p w14:paraId="2B81911B" w14:textId="77777777" w:rsidR="00321CC5" w:rsidRDefault="00000000">
      <w:pPr>
        <w:jc w:val="center"/>
      </w:pPr>
      <w:r>
        <w:t>Reuben S. Maghembe: conceptualisation, methodology, software, formal analysis, investigation, data curation, visualisation, writing - original draft, writing - review and editing, project administration.</w:t>
      </w:r>
    </w:p>
    <w:p w14:paraId="24A87C05" w14:textId="77777777" w:rsidR="00321CC5" w:rsidRDefault="00000000">
      <w:pPr>
        <w:pStyle w:val="Heading1"/>
      </w:pPr>
      <w:r>
        <w:t>Funding</w:t>
      </w:r>
    </w:p>
    <w:p w14:paraId="6EAAA308" w14:textId="77777777" w:rsidR="00321CC5" w:rsidRDefault="00000000">
      <w:r>
        <w:t>This research received no specific grant from any funding agency in the public, commercial or not-for-profit sectors. The study was conducted as an unfunded computational reanalysis of publicly available datasets using open-source software and publicly accessible data resources.</w:t>
      </w:r>
    </w:p>
    <w:p w14:paraId="233D543B" w14:textId="77777777" w:rsidR="00321CC5" w:rsidRDefault="00000000">
      <w:pPr>
        <w:pStyle w:val="Heading1"/>
      </w:pPr>
      <w:r>
        <w:t>Acknowledgments</w:t>
      </w:r>
    </w:p>
    <w:p w14:paraId="02D52BB0" w14:textId="77777777" w:rsidR="00321CC5" w:rsidRDefault="00000000">
      <w:r>
        <w:t>The author acknowledges the investigators who generated and publicly deposited the GSE214607, GSE161969, GSE113790 and GSE178535 datasets. Public data sharing and open-source scientific software made this integrative transcriptomic reanalysis possible.</w:t>
      </w:r>
    </w:p>
    <w:p w14:paraId="46F9A0A8" w14:textId="77777777" w:rsidR="00321CC5" w:rsidRDefault="00000000">
      <w:pPr>
        <w:pStyle w:val="Heading1"/>
      </w:pPr>
      <w:r>
        <w:t>Competing interests</w:t>
      </w:r>
    </w:p>
    <w:p w14:paraId="71951CD4" w14:textId="77777777" w:rsidR="00321CC5" w:rsidRDefault="00000000">
      <w:r>
        <w:t>The author declares no competing interests.</w:t>
      </w:r>
    </w:p>
    <w:p w14:paraId="007FF305" w14:textId="77777777" w:rsidR="00321CC5" w:rsidRDefault="00000000">
      <w:pPr>
        <w:pStyle w:val="Heading1"/>
      </w:pPr>
      <w:r>
        <w:t>References</w:t>
      </w:r>
    </w:p>
    <w:p w14:paraId="479ABFFD" w14:textId="77777777" w:rsidR="00321CC5" w:rsidRDefault="00000000">
      <w:r>
        <w:t>1. World Health Organization. Infertility prevalence estimates, 1990-2021. World Health Organization, Geneva (2023). https://www.who.int/publications/i/item/978920068315.</w:t>
      </w:r>
    </w:p>
    <w:p w14:paraId="16C41718" w14:textId="77777777" w:rsidR="00321CC5" w:rsidRDefault="00000000">
      <w:r>
        <w:t>2. ESHRE Guideline Group on RPL / Bender Atik, R. et al. ESHRE guideline: recurrent pregnancy loss: an update in 2022. Human Reproduction Open 2023, hoad002 (2023). doi:10.1093/hropen/hoad002.</w:t>
      </w:r>
    </w:p>
    <w:p w14:paraId="7BB6ABE9" w14:textId="77777777" w:rsidR="00321CC5" w:rsidRDefault="00000000">
      <w:r>
        <w:t>3. Practice Committee of the American Society for Reproductive Medicine. Recurrent pregnancy loss: a committee opinion. Fertility and Sterility / ASRM practice guidance (2026). doi:10.1016/j.fertnstert.2026.03.001.</w:t>
      </w:r>
    </w:p>
    <w:p w14:paraId="29EE12B1" w14:textId="77777777" w:rsidR="00321CC5" w:rsidRDefault="00000000">
      <w:r>
        <w:t>4. Quenby, S. et al. Miscarriage matters: the epidemiological, physical, psychological, and economic costs of early pregnancy loss. The Lancet 397, 1658-1667 (2021). doi:10.1016/S0140-6736(21)00682-6.</w:t>
      </w:r>
    </w:p>
    <w:p w14:paraId="2D4FCC52" w14:textId="77777777" w:rsidR="00321CC5" w:rsidRDefault="00000000">
      <w:r>
        <w:t>5. Coomarasamy, A. et al. Recurrent miscarriage: evidence to accelerate action. The Lancet 397, 1675-1682 (2021). doi:10.1016/S0140-6736(21)00681-4.</w:t>
      </w:r>
    </w:p>
    <w:p w14:paraId="695E2C38" w14:textId="77777777" w:rsidR="00321CC5" w:rsidRDefault="00000000">
      <w:r>
        <w:t>6. Gellersen, B. &amp; Brosens, J. J. Cyclic decidualization of the human endometrium in reproductive health and failure. Endocrine Reviews 35, 851-905 (2014). doi:10.1210/er.2014-1045.</w:t>
      </w:r>
    </w:p>
    <w:p w14:paraId="5CD356A7" w14:textId="77777777" w:rsidR="00321CC5" w:rsidRDefault="00000000">
      <w:r>
        <w:t>7. Brosens, J. J. et al. Uterine selection of human embryos at implantation. Scientific Reports 4, 3894 (2014). doi:10.1038/srep03894.</w:t>
      </w:r>
    </w:p>
    <w:p w14:paraId="32B03D9A" w14:textId="77777777" w:rsidR="00321CC5" w:rsidRDefault="00000000">
      <w:r>
        <w:t>8. Vento-Tormo, R. et al. Single-cell reconstruction of the early maternal-fetal interface in humans. Nature 563, 347-353 (2018). doi:10.1038/s41586-018-0698-6.</w:t>
      </w:r>
    </w:p>
    <w:p w14:paraId="2E381D3B" w14:textId="77777777" w:rsidR="00321CC5" w:rsidRDefault="00000000">
      <w:r>
        <w:lastRenderedPageBreak/>
        <w:t>9. Suryawanshi, H. et al. A single-cell survey of the human first-trimester placenta and decidua. Science Advances 4, eaau4788 (2018). doi:10.1126/sciadv.aau4788.</w:t>
      </w:r>
    </w:p>
    <w:p w14:paraId="39C62392" w14:textId="77777777" w:rsidR="00321CC5" w:rsidRDefault="00000000">
      <w:r>
        <w:t>10. Moffett, A. &amp; Shreeve, N. Local immune recognition of trophoblast in early human pregnancy: controversies and questions. Nature Reviews Immunology 23, 222-235 (2023). doi:10.1038/s41577-022-00777-2.</w:t>
      </w:r>
    </w:p>
    <w:p w14:paraId="014F684B" w14:textId="77777777" w:rsidR="00321CC5" w:rsidRDefault="00000000">
      <w:r>
        <w:t>11. Xu, L. et al. Crosstalk between trophoblasts and decidual immune cells: the cornerstone of maternal-fetal immunotolerance. Frontiers in Immunology 12, 642392 (2021). doi:10.3389/fimmu.2021.642392.</w:t>
      </w:r>
    </w:p>
    <w:p w14:paraId="5E60A6F6" w14:textId="77777777" w:rsidR="00321CC5" w:rsidRDefault="00000000">
      <w:r>
        <w:t>12. Gomez-Lopez, N. et al. Regulatory T cells in pregnancy: it is not all about FoxP3. Frontiers in Immunology 11, 1182 (2020). doi:10.3389/fimmu.2020.01182.</w:t>
      </w:r>
    </w:p>
    <w:p w14:paraId="3CF22188" w14:textId="77777777" w:rsidR="00321CC5" w:rsidRDefault="00000000">
      <w:r>
        <w:t>13. Li, Z. et al. CCR8+ decidual regulatory T cells maintain maternal-fetal immune tolerance. Science Immunology (2025). doi:10.1126/sciimmunol.ado2463.</w:t>
      </w:r>
    </w:p>
    <w:p w14:paraId="2FFD2E82" w14:textId="77777777" w:rsidR="00321CC5" w:rsidRDefault="00000000">
      <w:r>
        <w:t>14. Liu, Y. et al. Single-cell profiling of the human decidual immune microenvironment in patients with recurrent pregnancy loss. Cell Discovery 7, 1 (2021). doi:10.1038/s41421-020-00236-z.</w:t>
      </w:r>
    </w:p>
    <w:p w14:paraId="1EEDEB60" w14:textId="77777777" w:rsidR="00321CC5" w:rsidRDefault="00000000">
      <w:r>
        <w:t>15. Guo, C. et al. Single-cell immune landscape of human recurrent miscarriage. Genomics, Proteomics &amp; Bioinformatics 19, 208-222 (2021). doi:10.1016/j.gpb.2020.11.002.</w:t>
      </w:r>
    </w:p>
    <w:p w14:paraId="286B738E" w14:textId="77777777" w:rsidR="00321CC5" w:rsidRDefault="00000000">
      <w:r>
        <w:t>16. Wang, F. et al. The immune atlas of human deciduas with unexplained recurrent pregnancy loss. Frontiers in Immunology 12, 689019 (2021). doi:10.3389/fimmu.2021.689019.</w:t>
      </w:r>
    </w:p>
    <w:p w14:paraId="3D3CD279" w14:textId="77777777" w:rsidR="00321CC5" w:rsidRDefault="00000000">
      <w:r>
        <w:t>17. Zhang, Y. et al. Pro-inflammatory signature in decidua of recurrent pregnancy loss regardless of embryonic chromosomal abnormalities. Frontiers in Immunology 12, 772729 (2021). doi:10.3389/fimmu.2021.772729.</w:t>
      </w:r>
    </w:p>
    <w:p w14:paraId="61633529" w14:textId="77777777" w:rsidR="00321CC5" w:rsidRDefault="00000000">
      <w:r>
        <w:t>18. Zhao, Q.-Y. et al. Decidual macrophages in recurrent spontaneous abortion. Frontiers in Immunology 13, 994888 (2022). doi:10.3389/fimmu.2022.994888.</w:t>
      </w:r>
    </w:p>
    <w:p w14:paraId="35FB517E" w14:textId="77777777" w:rsidR="00321CC5" w:rsidRDefault="00000000">
      <w:r>
        <w:t>19. Ding, J. et al. Dysfunction of CCR1+ decidual macrophages is a potential risk factor in unexplained recurrent pregnancy loss. Frontiers in Immunology 13, 1045532 (2022). doi:10.3389/fimmu.2022.1045532.</w:t>
      </w:r>
    </w:p>
    <w:p w14:paraId="05722253" w14:textId="77777777" w:rsidR="00321CC5" w:rsidRDefault="00000000">
      <w:r>
        <w:t>20. Wang, Y. et al. Decorin promotes decidual M1-like macrophage polarization via mitochondrial metabolic reprogramming in recurrent pregnancy loss. Theranostics 12, 7219-7238 (2022). doi:10.7150/thno.78467.</w:t>
      </w:r>
    </w:p>
    <w:p w14:paraId="069B6B93" w14:textId="77777777" w:rsidR="00321CC5" w:rsidRDefault="00000000">
      <w:r>
        <w:t>21. Li, X. et al. Estrogen-sensitive activation of SGK1 induces M2 macrophage polarization and suppresses inflammation at the maternal-fetal interface. Reproductive Biology and Endocrinology 21, 45 (2023). doi:10.1186/s12958-023-01102-9.</w:t>
      </w:r>
    </w:p>
    <w:p w14:paraId="137A9A55" w14:textId="77777777" w:rsidR="00321CC5" w:rsidRDefault="00000000">
      <w:r>
        <w:t>22. Jabrane-Ferrat, N. Macrophage subsets at the maternal-fetal interface. Cellular &amp; Molecular Immunology 17, 889-890 (2020). doi:10.1038/s41423-020-0435-6.</w:t>
      </w:r>
    </w:p>
    <w:p w14:paraId="617F5DA2" w14:textId="77777777" w:rsidR="00321CC5" w:rsidRDefault="00000000">
      <w:r>
        <w:t>23. Liu, H. &amp; Zhang, L. Decidual macrophage subsets and polarization puzzle during human early pregnancy. Frontiers in Immunology 16, 1610891 (2025). doi:10.3389/fimmu.2025.1610891.</w:t>
      </w:r>
    </w:p>
    <w:p w14:paraId="6E37F6E0" w14:textId="77777777" w:rsidR="00321CC5" w:rsidRDefault="00000000">
      <w:r>
        <w:t>24. Bulla, R. et al. The complement system at the embryo implantation site: friend or foe? Frontiers in Immunology 3, 55 (2012). doi:10.3389/fimmu.2012.00055.</w:t>
      </w:r>
    </w:p>
    <w:p w14:paraId="7406E635" w14:textId="77777777" w:rsidR="00321CC5" w:rsidRDefault="00000000">
      <w:r>
        <w:t>25. Agostinis, C. et al. An alternative role of C1q in cell migration and tissue remodeling: contribution to trophoblast invasion and placental development. Journal of Immunology 185, 4420-4429 (2010). doi:10.4049/jimmunol.0903215.</w:t>
      </w:r>
    </w:p>
    <w:p w14:paraId="47BA82C1" w14:textId="77777777" w:rsidR="00321CC5" w:rsidRDefault="00000000">
      <w:r>
        <w:lastRenderedPageBreak/>
        <w:t>26. Girardi, G. et al. The complement system in the pathophysiology of pregnancy and in systemic autoimmune rheumatic diseases during pregnancy. Frontiers in Immunology 11, 2084 (2020). doi:10.3389/fimmu.2020.02084.</w:t>
      </w:r>
    </w:p>
    <w:p w14:paraId="5936F78F" w14:textId="77777777" w:rsidR="00321CC5" w:rsidRDefault="00000000">
      <w:r>
        <w:t>27. Liu, J. et al. Exploring novel molecular mechanisms underlying recurrent pregnancy loss and potential biomarkers through multi-omics bioinformatics analysis. Scientific Reports 15, 25216 (2025). doi:10.1038/s41598-025-10604-y.</w:t>
      </w:r>
    </w:p>
    <w:p w14:paraId="2CC413CC" w14:textId="77777777" w:rsidR="00321CC5" w:rsidRDefault="00000000">
      <w:r>
        <w:t>28. GEO accession GSE214607. Single-cell sequencing and second-generation RNA sequencing-based screening of macrophage-associated marker genes for recurrent miscarriage diagnosis. Gene Expression Omnibus. https://www.ncbi.nlm.nih.gov/geo/query/acc.cgi?acc=GSE214607.</w:t>
      </w:r>
    </w:p>
    <w:p w14:paraId="793853B2" w14:textId="77777777" w:rsidR="00321CC5" w:rsidRDefault="00000000">
      <w:r>
        <w:t>29. NCBI SRA accession SRP400574. Raw sequence record associated with GSE214607. https://www.ncbi.nlm.nih.gov/sra/?term=SRP400574.</w:t>
      </w:r>
    </w:p>
    <w:p w14:paraId="00EFC4A9" w14:textId="77777777" w:rsidR="00321CC5" w:rsidRDefault="00000000">
      <w:r>
        <w:t>30. Wei, P. et al. Identification and validation of a signature based on macrophage cell marker genes to predict recurrent miscarriage by integrated analysis of single-cell and bulk RNA-sequencing. Frontiers in Immunology 13, 1053819 (2022). doi:10.3389/fimmu.2022.1053819.</w:t>
      </w:r>
    </w:p>
    <w:p w14:paraId="09583794" w14:textId="77777777" w:rsidR="00321CC5" w:rsidRDefault="00000000">
      <w:r>
        <w:t>31. GEO accession GSE161969. RNA sequencing of decidua reveals differentially expressed genes in recurrent pregnancy loss. Gene Expression Omnibus. https://www.ncbi.nlm.nih.gov/geo/query/acc.cgi?acc=GSE161969.</w:t>
      </w:r>
    </w:p>
    <w:p w14:paraId="1858D461" w14:textId="77777777" w:rsidR="00321CC5" w:rsidRDefault="00000000">
      <w:r>
        <w:t>32. Chen, Y. et al. RNA sequencing of decidua reveals differentially expressed genes in recurrent pregnancy loss. Reproductive Sciences 28, 2848-2858 (2021). doi:10.1007/s43032-021-00482-w.</w:t>
      </w:r>
    </w:p>
    <w:p w14:paraId="22D84147" w14:textId="77777777" w:rsidR="00321CC5" w:rsidRDefault="00000000">
      <w:r>
        <w:t>33. NCBI SRA accession SRP293708. Raw sequence record associated with GSE161969. https://www.ncbi.nlm.nih.gov/sra/?term=SRP293708.</w:t>
      </w:r>
    </w:p>
    <w:p w14:paraId="5D4D0D2E" w14:textId="77777777" w:rsidR="00321CC5" w:rsidRDefault="00000000">
      <w:r>
        <w:t>34. GEO accession GSE113790. RNA sequencing analysis of decidua tissues from unexplained recurrent spontaneous abortion patients and controls with induced abortions. Gene Expression Omnibus. https://www.ncbi.nlm.nih.gov/geo/query/acc.cgi?acc=GSE113790.</w:t>
      </w:r>
    </w:p>
    <w:p w14:paraId="6FFF91BC" w14:textId="77777777" w:rsidR="00321CC5" w:rsidRDefault="00000000">
      <w:r>
        <w:t>35. NCBI SRA accession SRP143517. Raw sequence record associated with GSE113790. https://www.ncbi.nlm.nih.gov/sra/?term=SRP143517.</w:t>
      </w:r>
    </w:p>
    <w:p w14:paraId="3A86D0BC" w14:textId="77777777" w:rsidR="00321CC5" w:rsidRDefault="00000000">
      <w:r>
        <w:t>36. GEO accession GSE178535. Next Generation Sequencing Facilitates Quantitative Analysis of Decidua Tissue in Recurrent Pregnancy Loss. Gene Expression Omnibus. https://www.ncbi.nlm.nih.gov/geo/query/acc.cgi?acc=GSE178535.</w:t>
      </w:r>
    </w:p>
    <w:p w14:paraId="61028473" w14:textId="77777777" w:rsidR="00321CC5" w:rsidRDefault="00000000">
      <w:r>
        <w:t>37. Squair, J. W. et al. Confronting false discoveries in single-cell differential expression. Nature Communications 12, 5692 (2021). doi:10.1038/s41467-021-25960-2.</w:t>
      </w:r>
    </w:p>
    <w:p w14:paraId="38A02CE9" w14:textId="77777777" w:rsidR="00321CC5" w:rsidRDefault="00000000">
      <w:r>
        <w:t>38. Murphy, A. E. &amp; Skene, N. G. A balanced measure shows superior performance of pseudobulk methods in single-cell RNA-sequencing analyses. Nature Communications 13, 7851 (2022). doi:10.1038/s41467-022-35519-4.</w:t>
      </w:r>
    </w:p>
    <w:p w14:paraId="73E7A728" w14:textId="77777777" w:rsidR="00321CC5" w:rsidRDefault="00000000">
      <w:r>
        <w:t>39. Hanzelmann, S., Castelo, R. &amp; Guinney, J. GSVA: gene set variation analysis for microarray and RNA-seq data. BMC Bioinformatics 14, 7 (2013). doi:10.1186/1471-2105-14-7.</w:t>
      </w:r>
    </w:p>
    <w:p w14:paraId="1904926F" w14:textId="77777777" w:rsidR="00321CC5" w:rsidRDefault="00000000">
      <w:r>
        <w:t>40. Benjamini, Y. &amp; Hochberg, Y. Controlling the false discovery rate: a practical and powerful approach to multiple testing. Journal of the Royal Statistical Society Series B 57, 289-300 (1995). doi:10.1111/j.2517-6161.1995.tb02031.x.</w:t>
      </w:r>
    </w:p>
    <w:p w14:paraId="5F726B30" w14:textId="77777777" w:rsidR="00321CC5" w:rsidRDefault="00000000">
      <w:pPr>
        <w:pStyle w:val="Heading1"/>
      </w:pPr>
      <w:r>
        <w:lastRenderedPageBreak/>
        <w:t>Supporting information captions</w:t>
      </w:r>
    </w:p>
    <w:p w14:paraId="4386F97D" w14:textId="77777777" w:rsidR="00321CC5" w:rsidRDefault="00000000">
      <w:r>
        <w:t>Supplementary Table S1. Dataset metadata and sample inclusion framework. Curated sample metadata, tissue source, disease group, analysis role and inclusion/exclusion status for GSE214607, GSE161969, GSE113790 and GSE178535.</w:t>
      </w:r>
    </w:p>
    <w:p w14:paraId="2C1DFD37" w14:textId="77777777" w:rsidR="00321CC5" w:rsidRDefault="00000000">
      <w:r>
        <w:t>Supplementary Table S2. GSE214607-derived projection-ready signature gene sets. Full gene lists for the four projection-ready signatures.</w:t>
      </w:r>
    </w:p>
    <w:p w14:paraId="1587E16D" w14:textId="77777777" w:rsidR="00321CC5" w:rsidRDefault="00000000">
      <w:r>
        <w:t>Supplementary Table S3. Three-cohort signature projection and cross-cohort recurrence statistics. Signature scores, gene-overlap metrics, cohort-specific case-minus-control deltas and cross-cohort concordance summaries.</w:t>
      </w:r>
    </w:p>
    <w:p w14:paraId="18DFE027" w14:textId="77777777" w:rsidR="00321CC5" w:rsidRDefault="00000000">
      <w:r>
        <w:t>Supplementary Table S4. Figure-caption support and reproducibility audit. Figure-source tables, script/output inventory, release-manifest notes and interpretation-boundary documentation.</w:t>
      </w:r>
    </w:p>
    <w:p w14:paraId="5FA6EB91" w14:textId="77777777" w:rsidR="00321CC5" w:rsidRDefault="00000000">
      <w:r>
        <w:t>Supplementary Figure S1. Dataset processing, quality-control and signature-coverage summary.</w:t>
      </w:r>
    </w:p>
    <w:p w14:paraId="21A80ABF" w14:textId="77777777" w:rsidR="00321CC5" w:rsidRDefault="00000000">
      <w:r>
        <w:t>Supplementary Figure S2. Intermediate single-cohort and two-cohort projection summaries supporting the final three-cohort analysis.</w:t>
      </w:r>
    </w:p>
    <w:p w14:paraId="46B0F889" w14:textId="77777777" w:rsidR="00321CC5" w:rsidRDefault="00000000">
      <w:pPr>
        <w:pStyle w:val="Heading1"/>
      </w:pPr>
      <w:r>
        <w:t>Figure legends</w:t>
      </w:r>
    </w:p>
    <w:p w14:paraId="0E3B6DA0" w14:textId="77777777" w:rsidR="00321CC5" w:rsidRDefault="00000000">
      <w:r>
        <w:t>Figure 1. Study design and analytical workflow</w:t>
      </w:r>
    </w:p>
    <w:p w14:paraId="18E93C0A" w14:textId="77777777" w:rsidR="00321CC5" w:rsidRDefault="00000000">
      <w:r>
        <w:t>Single-cell transcriptomic cross-cohort recurrence workflow for recurrent pregnancy loss decidua analysis. GSE214607 was used as a disease single-cell/pseudobulk reference and GSE161969, GSE113790 and GSE178535 were used as independent bulk decidua projection cohorts. Candidate signatures were derived from pseudobulk contrasts, filtered for interpretability and projected into each bulk cohort using within-cohort standardized expression. Cross-cohort recurrence was evaluated by coverage, case-minus-control deltas and directional concordance.</w:t>
      </w:r>
    </w:p>
    <w:p w14:paraId="46B105DA" w14:textId="77777777" w:rsidR="00321CC5" w:rsidRDefault="00000000">
      <w:r>
        <w:t>Figure 2. GSE214607-derived projection-ready tissue-state signatures</w:t>
      </w:r>
    </w:p>
    <w:p w14:paraId="103A5B35" w14:textId="77777777" w:rsidR="00321CC5" w:rsidRDefault="00000000">
      <w:r>
        <w:t>Derivation of projection-ready recurrent-miscarriage and tissue-context signatures from GSE214607. Four compact signatures were retained: recurrent-miscarriage decidual inflammatory macrophage/APC up, decidua immune-stromal identity, villi trophoblast/epithelial identity and recurrent-miscarriage villi structural/trophoblast.</w:t>
      </w:r>
    </w:p>
    <w:p w14:paraId="29C9C005" w14:textId="77777777" w:rsidR="00321CC5" w:rsidRDefault="00000000">
      <w:r>
        <w:t>Figure 3. Three-cohort cross-cohort recurrence of the macrophage/APC signature</w:t>
      </w:r>
    </w:p>
    <w:p w14:paraId="3BD84966" w14:textId="77777777" w:rsidR="00321CC5" w:rsidRDefault="00000000">
      <w:r>
        <w:t>The recurrent-miscarriage decidual inflammatory macrophage/APC signature showed complete 30/30 gene coverage and positive case-associated shifts in GSE161969, GSE113790 and GSE178535. Deltas were +1.019, +0.282 and +0.941, respectively.</w:t>
      </w:r>
    </w:p>
    <w:p w14:paraId="73848FC4" w14:textId="77777777" w:rsidR="00321CC5" w:rsidRDefault="00000000">
      <w:r>
        <w:t>Figure 4. Cross-cohort delta summary for all projected signatures</w:t>
      </w:r>
    </w:p>
    <w:p w14:paraId="3F8C3782" w14:textId="77777777" w:rsidR="00321CC5" w:rsidRDefault="00000000">
      <w:r>
        <w:t>Case-minus-control signature-score deltas for four GSE214607-derived signatures across external cohorts. The macrophage/APC signature showed the strongest and most consistent positive directional recurrence; villi/trophoblast-associated signatures were weaker or mixed.</w:t>
      </w:r>
    </w:p>
    <w:p w14:paraId="013A3FE3" w14:textId="77777777" w:rsidR="00321CC5" w:rsidRDefault="00000000">
      <w:pPr>
        <w:pStyle w:val="Heading1"/>
      </w:pPr>
      <w:r>
        <w:t>Tables</w:t>
      </w:r>
    </w:p>
    <w:p w14:paraId="32B189C8" w14:textId="77777777" w:rsidR="00321CC5" w:rsidRDefault="00000000">
      <w:r>
        <w:t>Table 1. Public datasets used in the analysis</w:t>
      </w:r>
    </w:p>
    <w:tbl>
      <w:tblPr>
        <w:tblStyle w:val="TableGrid"/>
        <w:tblW w:w="0" w:type="auto"/>
        <w:jc w:val="center"/>
        <w:tblLayout w:type="fixed"/>
        <w:tblLook w:val="04A0" w:firstRow="1" w:lastRow="0" w:firstColumn="1" w:lastColumn="0" w:noHBand="0" w:noVBand="1"/>
      </w:tblPr>
      <w:tblGrid>
        <w:gridCol w:w="1296"/>
        <w:gridCol w:w="1512"/>
        <w:gridCol w:w="1512"/>
        <w:gridCol w:w="1368"/>
        <w:gridCol w:w="1512"/>
        <w:gridCol w:w="1512"/>
        <w:gridCol w:w="1224"/>
      </w:tblGrid>
      <w:tr w:rsidR="00321CC5" w14:paraId="222AA33B" w14:textId="77777777">
        <w:trPr>
          <w:cantSplit/>
          <w:tblHeader/>
          <w:jc w:val="center"/>
        </w:trPr>
        <w:tc>
          <w:tcPr>
            <w:tcW w:w="1296" w:type="dxa"/>
            <w:shd w:val="clear" w:color="auto" w:fill="EDEDED"/>
            <w:tcMar>
              <w:top w:w="70" w:type="dxa"/>
              <w:left w:w="70" w:type="dxa"/>
              <w:bottom w:w="70" w:type="dxa"/>
              <w:right w:w="70" w:type="dxa"/>
            </w:tcMar>
            <w:vAlign w:val="center"/>
          </w:tcPr>
          <w:p w14:paraId="5FFF9ED6" w14:textId="77777777" w:rsidR="00321CC5" w:rsidRDefault="00000000">
            <w:pPr>
              <w:spacing w:after="0" w:line="240" w:lineRule="auto"/>
            </w:pPr>
            <w:r>
              <w:rPr>
                <w:rFonts w:eastAsia="Times New Roman"/>
                <w:b/>
                <w:sz w:val="18"/>
              </w:rPr>
              <w:t>Dataset</w:t>
            </w:r>
          </w:p>
        </w:tc>
        <w:tc>
          <w:tcPr>
            <w:tcW w:w="1512" w:type="dxa"/>
            <w:shd w:val="clear" w:color="auto" w:fill="EDEDED"/>
            <w:tcMar>
              <w:top w:w="70" w:type="dxa"/>
              <w:left w:w="70" w:type="dxa"/>
              <w:bottom w:w="70" w:type="dxa"/>
              <w:right w:w="70" w:type="dxa"/>
            </w:tcMar>
            <w:vAlign w:val="center"/>
          </w:tcPr>
          <w:p w14:paraId="6C7D73A2" w14:textId="77777777" w:rsidR="00321CC5" w:rsidRDefault="00000000">
            <w:pPr>
              <w:spacing w:after="0" w:line="240" w:lineRule="auto"/>
            </w:pPr>
            <w:r>
              <w:rPr>
                <w:rFonts w:eastAsia="Times New Roman"/>
                <w:b/>
                <w:sz w:val="18"/>
              </w:rPr>
              <w:t>Assay/data type</w:t>
            </w:r>
          </w:p>
        </w:tc>
        <w:tc>
          <w:tcPr>
            <w:tcW w:w="1512" w:type="dxa"/>
            <w:shd w:val="clear" w:color="auto" w:fill="EDEDED"/>
            <w:tcMar>
              <w:top w:w="70" w:type="dxa"/>
              <w:left w:w="70" w:type="dxa"/>
              <w:bottom w:w="70" w:type="dxa"/>
              <w:right w:w="70" w:type="dxa"/>
            </w:tcMar>
            <w:vAlign w:val="center"/>
          </w:tcPr>
          <w:p w14:paraId="23CA07FD" w14:textId="77777777" w:rsidR="00321CC5" w:rsidRDefault="00000000">
            <w:pPr>
              <w:spacing w:after="0" w:line="240" w:lineRule="auto"/>
            </w:pPr>
            <w:r>
              <w:rPr>
                <w:rFonts w:eastAsia="Times New Roman"/>
                <w:b/>
                <w:sz w:val="18"/>
              </w:rPr>
              <w:t>Tissue/source</w:t>
            </w:r>
          </w:p>
        </w:tc>
        <w:tc>
          <w:tcPr>
            <w:tcW w:w="1368" w:type="dxa"/>
            <w:shd w:val="clear" w:color="auto" w:fill="EDEDED"/>
            <w:tcMar>
              <w:top w:w="70" w:type="dxa"/>
              <w:left w:w="70" w:type="dxa"/>
              <w:bottom w:w="70" w:type="dxa"/>
              <w:right w:w="70" w:type="dxa"/>
            </w:tcMar>
            <w:vAlign w:val="center"/>
          </w:tcPr>
          <w:p w14:paraId="18A12B63" w14:textId="77777777" w:rsidR="00321CC5" w:rsidRDefault="00000000">
            <w:pPr>
              <w:spacing w:after="0" w:line="240" w:lineRule="auto"/>
            </w:pPr>
            <w:r>
              <w:rPr>
                <w:rFonts w:eastAsia="Times New Roman"/>
                <w:b/>
                <w:sz w:val="18"/>
              </w:rPr>
              <w:t>Groups used</w:t>
            </w:r>
          </w:p>
        </w:tc>
        <w:tc>
          <w:tcPr>
            <w:tcW w:w="1512" w:type="dxa"/>
            <w:shd w:val="clear" w:color="auto" w:fill="EDEDED"/>
            <w:tcMar>
              <w:top w:w="70" w:type="dxa"/>
              <w:left w:w="70" w:type="dxa"/>
              <w:bottom w:w="70" w:type="dxa"/>
              <w:right w:w="70" w:type="dxa"/>
            </w:tcMar>
            <w:vAlign w:val="center"/>
          </w:tcPr>
          <w:p w14:paraId="7A0A2A76" w14:textId="77777777" w:rsidR="00321CC5" w:rsidRDefault="00000000">
            <w:pPr>
              <w:spacing w:after="0" w:line="240" w:lineRule="auto"/>
            </w:pPr>
            <w:r>
              <w:rPr>
                <w:rFonts w:eastAsia="Times New Roman"/>
                <w:b/>
                <w:sz w:val="18"/>
              </w:rPr>
              <w:t>Role in study</w:t>
            </w:r>
          </w:p>
        </w:tc>
        <w:tc>
          <w:tcPr>
            <w:tcW w:w="1512" w:type="dxa"/>
            <w:shd w:val="clear" w:color="auto" w:fill="EDEDED"/>
            <w:tcMar>
              <w:top w:w="70" w:type="dxa"/>
              <w:left w:w="70" w:type="dxa"/>
              <w:bottom w:w="70" w:type="dxa"/>
              <w:right w:w="70" w:type="dxa"/>
            </w:tcMar>
            <w:vAlign w:val="center"/>
          </w:tcPr>
          <w:p w14:paraId="730BE53A" w14:textId="77777777" w:rsidR="00321CC5" w:rsidRDefault="00000000">
            <w:pPr>
              <w:spacing w:after="0" w:line="240" w:lineRule="auto"/>
            </w:pPr>
            <w:r>
              <w:rPr>
                <w:rFonts w:eastAsia="Times New Roman"/>
                <w:b/>
                <w:sz w:val="18"/>
              </w:rPr>
              <w:t>Key processing</w:t>
            </w:r>
          </w:p>
        </w:tc>
        <w:tc>
          <w:tcPr>
            <w:tcW w:w="1224" w:type="dxa"/>
            <w:shd w:val="clear" w:color="auto" w:fill="EDEDED"/>
            <w:tcMar>
              <w:top w:w="70" w:type="dxa"/>
              <w:left w:w="70" w:type="dxa"/>
              <w:bottom w:w="70" w:type="dxa"/>
              <w:right w:w="70" w:type="dxa"/>
            </w:tcMar>
            <w:vAlign w:val="center"/>
          </w:tcPr>
          <w:p w14:paraId="2A65E5B9" w14:textId="77777777" w:rsidR="00321CC5" w:rsidRDefault="00000000">
            <w:pPr>
              <w:spacing w:after="0" w:line="240" w:lineRule="auto"/>
            </w:pPr>
            <w:r>
              <w:rPr>
                <w:rFonts w:eastAsia="Times New Roman"/>
                <w:b/>
                <w:sz w:val="18"/>
              </w:rPr>
              <w:t>Main limitation</w:t>
            </w:r>
          </w:p>
        </w:tc>
      </w:tr>
      <w:tr w:rsidR="00321CC5" w14:paraId="70E154B9" w14:textId="77777777">
        <w:trPr>
          <w:cantSplit/>
          <w:jc w:val="center"/>
        </w:trPr>
        <w:tc>
          <w:tcPr>
            <w:tcW w:w="1296" w:type="dxa"/>
            <w:tcMar>
              <w:top w:w="70" w:type="dxa"/>
              <w:left w:w="70" w:type="dxa"/>
              <w:bottom w:w="70" w:type="dxa"/>
              <w:right w:w="70" w:type="dxa"/>
            </w:tcMar>
            <w:vAlign w:val="center"/>
          </w:tcPr>
          <w:p w14:paraId="58C4CAAD" w14:textId="77777777" w:rsidR="00321CC5" w:rsidRDefault="00000000">
            <w:pPr>
              <w:spacing w:after="0" w:line="240" w:lineRule="auto"/>
            </w:pPr>
            <w:r>
              <w:rPr>
                <w:rFonts w:eastAsia="Times New Roman"/>
                <w:sz w:val="18"/>
              </w:rPr>
              <w:lastRenderedPageBreak/>
              <w:t>GSE214607</w:t>
            </w:r>
          </w:p>
        </w:tc>
        <w:tc>
          <w:tcPr>
            <w:tcW w:w="1512" w:type="dxa"/>
            <w:tcMar>
              <w:top w:w="70" w:type="dxa"/>
              <w:left w:w="70" w:type="dxa"/>
              <w:bottom w:w="70" w:type="dxa"/>
              <w:right w:w="70" w:type="dxa"/>
            </w:tcMar>
            <w:vAlign w:val="center"/>
          </w:tcPr>
          <w:p w14:paraId="10A02A30" w14:textId="77777777" w:rsidR="00321CC5" w:rsidRDefault="00000000">
            <w:pPr>
              <w:spacing w:after="0" w:line="240" w:lineRule="auto"/>
            </w:pPr>
            <w:r>
              <w:rPr>
                <w:rFonts w:eastAsia="Times New Roman"/>
                <w:sz w:val="18"/>
              </w:rPr>
              <w:t>Single-cell RNA-seq / pseudobulk reference</w:t>
            </w:r>
          </w:p>
        </w:tc>
        <w:tc>
          <w:tcPr>
            <w:tcW w:w="1512" w:type="dxa"/>
            <w:tcMar>
              <w:top w:w="70" w:type="dxa"/>
              <w:left w:w="70" w:type="dxa"/>
              <w:bottom w:w="70" w:type="dxa"/>
              <w:right w:w="70" w:type="dxa"/>
            </w:tcMar>
            <w:vAlign w:val="center"/>
          </w:tcPr>
          <w:p w14:paraId="6B7F3705" w14:textId="77777777" w:rsidR="00321CC5" w:rsidRDefault="00000000">
            <w:pPr>
              <w:spacing w:after="0" w:line="240" w:lineRule="auto"/>
            </w:pPr>
            <w:r>
              <w:rPr>
                <w:rFonts w:eastAsia="Times New Roman"/>
                <w:sz w:val="18"/>
              </w:rPr>
              <w:t>First-trimester decidua and villi</w:t>
            </w:r>
          </w:p>
        </w:tc>
        <w:tc>
          <w:tcPr>
            <w:tcW w:w="1368" w:type="dxa"/>
            <w:tcMar>
              <w:top w:w="70" w:type="dxa"/>
              <w:left w:w="70" w:type="dxa"/>
              <w:bottom w:w="70" w:type="dxa"/>
              <w:right w:w="70" w:type="dxa"/>
            </w:tcMar>
            <w:vAlign w:val="center"/>
          </w:tcPr>
          <w:p w14:paraId="0A6EB4E1" w14:textId="77777777" w:rsidR="00321CC5" w:rsidRDefault="00000000">
            <w:pPr>
              <w:spacing w:after="0" w:line="240" w:lineRule="auto"/>
            </w:pPr>
            <w:r>
              <w:rPr>
                <w:rFonts w:eastAsia="Times New Roman"/>
                <w:sz w:val="18"/>
              </w:rPr>
              <w:t>Control and recurrent miscarriage</w:t>
            </w:r>
          </w:p>
        </w:tc>
        <w:tc>
          <w:tcPr>
            <w:tcW w:w="1512" w:type="dxa"/>
            <w:tcMar>
              <w:top w:w="70" w:type="dxa"/>
              <w:left w:w="70" w:type="dxa"/>
              <w:bottom w:w="70" w:type="dxa"/>
              <w:right w:w="70" w:type="dxa"/>
            </w:tcMar>
            <w:vAlign w:val="center"/>
          </w:tcPr>
          <w:p w14:paraId="541DCB2B" w14:textId="77777777" w:rsidR="00321CC5" w:rsidRDefault="00000000">
            <w:pPr>
              <w:spacing w:after="0" w:line="240" w:lineRule="auto"/>
            </w:pPr>
            <w:r>
              <w:rPr>
                <w:sz w:val="18"/>
              </w:rPr>
              <w:t>Disease single-cell reference; signature derivation</w:t>
            </w:r>
          </w:p>
        </w:tc>
        <w:tc>
          <w:tcPr>
            <w:tcW w:w="1512" w:type="dxa"/>
            <w:tcMar>
              <w:top w:w="70" w:type="dxa"/>
              <w:left w:w="70" w:type="dxa"/>
              <w:bottom w:w="70" w:type="dxa"/>
              <w:right w:w="70" w:type="dxa"/>
            </w:tcMar>
            <w:vAlign w:val="center"/>
          </w:tcPr>
          <w:p w14:paraId="160809A4" w14:textId="77777777" w:rsidR="00321CC5" w:rsidRDefault="00000000">
            <w:pPr>
              <w:spacing w:after="0" w:line="240" w:lineRule="auto"/>
            </w:pPr>
            <w:r>
              <w:rPr>
                <w:rFonts w:eastAsia="Times New Roman"/>
                <w:sz w:val="18"/>
              </w:rPr>
              <w:t>Raw 10x matrices imported, QC-filtered and aggregated to pseudobulk profiles</w:t>
            </w:r>
          </w:p>
        </w:tc>
        <w:tc>
          <w:tcPr>
            <w:tcW w:w="1224" w:type="dxa"/>
            <w:tcMar>
              <w:top w:w="70" w:type="dxa"/>
              <w:left w:w="70" w:type="dxa"/>
              <w:bottom w:w="70" w:type="dxa"/>
              <w:right w:w="70" w:type="dxa"/>
            </w:tcMar>
            <w:vAlign w:val="center"/>
          </w:tcPr>
          <w:p w14:paraId="4D6683F6" w14:textId="77777777" w:rsidR="00321CC5" w:rsidRDefault="00000000">
            <w:pPr>
              <w:spacing w:after="0" w:line="240" w:lineRule="auto"/>
            </w:pPr>
            <w:r>
              <w:rPr>
                <w:sz w:val="18"/>
              </w:rPr>
              <w:t>Limited sample numbers; exploratory signature derivation</w:t>
            </w:r>
          </w:p>
        </w:tc>
      </w:tr>
      <w:tr w:rsidR="00321CC5" w14:paraId="405A5841" w14:textId="77777777">
        <w:trPr>
          <w:cantSplit/>
          <w:jc w:val="center"/>
        </w:trPr>
        <w:tc>
          <w:tcPr>
            <w:tcW w:w="1296" w:type="dxa"/>
            <w:tcMar>
              <w:top w:w="70" w:type="dxa"/>
              <w:left w:w="70" w:type="dxa"/>
              <w:bottom w:w="70" w:type="dxa"/>
              <w:right w:w="70" w:type="dxa"/>
            </w:tcMar>
            <w:vAlign w:val="center"/>
          </w:tcPr>
          <w:p w14:paraId="0F7C2DAD" w14:textId="77777777" w:rsidR="00321CC5" w:rsidRDefault="00000000">
            <w:pPr>
              <w:spacing w:after="0" w:line="240" w:lineRule="auto"/>
            </w:pPr>
            <w:r>
              <w:rPr>
                <w:rFonts w:eastAsia="Times New Roman"/>
                <w:sz w:val="18"/>
              </w:rPr>
              <w:t>GSE161969</w:t>
            </w:r>
          </w:p>
        </w:tc>
        <w:tc>
          <w:tcPr>
            <w:tcW w:w="1512" w:type="dxa"/>
            <w:tcMar>
              <w:top w:w="70" w:type="dxa"/>
              <w:left w:w="70" w:type="dxa"/>
              <w:bottom w:w="70" w:type="dxa"/>
              <w:right w:w="70" w:type="dxa"/>
            </w:tcMar>
            <w:vAlign w:val="center"/>
          </w:tcPr>
          <w:p w14:paraId="29F1120D" w14:textId="77777777" w:rsidR="00321CC5" w:rsidRDefault="00000000">
            <w:pPr>
              <w:spacing w:after="0" w:line="240" w:lineRule="auto"/>
            </w:pPr>
            <w:r>
              <w:rPr>
                <w:rFonts w:eastAsia="Times New Roman"/>
                <w:sz w:val="18"/>
              </w:rPr>
              <w:t>Bulk RNA-seq processed expression</w:t>
            </w:r>
          </w:p>
        </w:tc>
        <w:tc>
          <w:tcPr>
            <w:tcW w:w="1512" w:type="dxa"/>
            <w:tcMar>
              <w:top w:w="70" w:type="dxa"/>
              <w:left w:w="70" w:type="dxa"/>
              <w:bottom w:w="70" w:type="dxa"/>
              <w:right w:w="70" w:type="dxa"/>
            </w:tcMar>
            <w:vAlign w:val="center"/>
          </w:tcPr>
          <w:p w14:paraId="204E4C26" w14:textId="77777777" w:rsidR="00321CC5" w:rsidRDefault="00000000">
            <w:pPr>
              <w:spacing w:after="0" w:line="240" w:lineRule="auto"/>
            </w:pPr>
            <w:r>
              <w:rPr>
                <w:rFonts w:eastAsia="Times New Roman"/>
                <w:sz w:val="18"/>
              </w:rPr>
              <w:t>Decidua</w:t>
            </w:r>
          </w:p>
        </w:tc>
        <w:tc>
          <w:tcPr>
            <w:tcW w:w="1368" w:type="dxa"/>
            <w:tcMar>
              <w:top w:w="70" w:type="dxa"/>
              <w:left w:w="70" w:type="dxa"/>
              <w:bottom w:w="70" w:type="dxa"/>
              <w:right w:w="70" w:type="dxa"/>
            </w:tcMar>
            <w:vAlign w:val="center"/>
          </w:tcPr>
          <w:p w14:paraId="76CC15F5" w14:textId="77777777" w:rsidR="00321CC5" w:rsidRDefault="00000000">
            <w:pPr>
              <w:spacing w:after="0" w:line="240" w:lineRule="auto"/>
            </w:pPr>
            <w:r>
              <w:rPr>
                <w:rFonts w:eastAsia="Times New Roman"/>
                <w:sz w:val="18"/>
              </w:rPr>
              <w:t>Control and RPL</w:t>
            </w:r>
          </w:p>
        </w:tc>
        <w:tc>
          <w:tcPr>
            <w:tcW w:w="1512" w:type="dxa"/>
            <w:tcMar>
              <w:top w:w="70" w:type="dxa"/>
              <w:left w:w="70" w:type="dxa"/>
              <w:bottom w:w="70" w:type="dxa"/>
              <w:right w:w="70" w:type="dxa"/>
            </w:tcMar>
            <w:vAlign w:val="center"/>
          </w:tcPr>
          <w:p w14:paraId="0E735523" w14:textId="77777777" w:rsidR="00321CC5" w:rsidRDefault="00000000">
            <w:pPr>
              <w:spacing w:after="0" w:line="240" w:lineRule="auto"/>
            </w:pPr>
            <w:r>
              <w:rPr>
                <w:rFonts w:eastAsia="Times New Roman"/>
                <w:sz w:val="18"/>
              </w:rPr>
              <w:t>External projection cohort</w:t>
            </w:r>
          </w:p>
        </w:tc>
        <w:tc>
          <w:tcPr>
            <w:tcW w:w="1512" w:type="dxa"/>
            <w:tcMar>
              <w:top w:w="70" w:type="dxa"/>
              <w:left w:w="70" w:type="dxa"/>
              <w:bottom w:w="70" w:type="dxa"/>
              <w:right w:w="70" w:type="dxa"/>
            </w:tcMar>
            <w:vAlign w:val="center"/>
          </w:tcPr>
          <w:p w14:paraId="7995E060" w14:textId="77777777" w:rsidR="00321CC5" w:rsidRDefault="00000000">
            <w:pPr>
              <w:spacing w:after="0" w:line="240" w:lineRule="auto"/>
            </w:pPr>
            <w:r>
              <w:rPr>
                <w:rFonts w:eastAsia="Times New Roman"/>
                <w:sz w:val="18"/>
              </w:rPr>
              <w:t>Gene-symbol FPKM matrix; log2(FPKM + 1); within-cohort scoring</w:t>
            </w:r>
          </w:p>
        </w:tc>
        <w:tc>
          <w:tcPr>
            <w:tcW w:w="1224" w:type="dxa"/>
            <w:tcMar>
              <w:top w:w="70" w:type="dxa"/>
              <w:left w:w="70" w:type="dxa"/>
              <w:bottom w:w="70" w:type="dxa"/>
              <w:right w:w="70" w:type="dxa"/>
            </w:tcMar>
            <w:vAlign w:val="center"/>
          </w:tcPr>
          <w:p w14:paraId="05CDB9B7" w14:textId="77777777" w:rsidR="00321CC5" w:rsidRDefault="00000000">
            <w:pPr>
              <w:spacing w:after="0" w:line="240" w:lineRule="auto"/>
            </w:pPr>
            <w:r>
              <w:rPr>
                <w:rFonts w:eastAsia="Times New Roman"/>
                <w:sz w:val="18"/>
              </w:rPr>
              <w:t>Very small cohort; limited metadata</w:t>
            </w:r>
          </w:p>
        </w:tc>
      </w:tr>
      <w:tr w:rsidR="00321CC5" w14:paraId="02AD699D" w14:textId="77777777">
        <w:trPr>
          <w:cantSplit/>
          <w:jc w:val="center"/>
        </w:trPr>
        <w:tc>
          <w:tcPr>
            <w:tcW w:w="1296" w:type="dxa"/>
            <w:tcMar>
              <w:top w:w="70" w:type="dxa"/>
              <w:left w:w="70" w:type="dxa"/>
              <w:bottom w:w="70" w:type="dxa"/>
              <w:right w:w="70" w:type="dxa"/>
            </w:tcMar>
            <w:vAlign w:val="center"/>
          </w:tcPr>
          <w:p w14:paraId="64F886FC" w14:textId="77777777" w:rsidR="00321CC5" w:rsidRDefault="00000000">
            <w:pPr>
              <w:spacing w:after="0" w:line="240" w:lineRule="auto"/>
            </w:pPr>
            <w:r>
              <w:rPr>
                <w:rFonts w:eastAsia="Times New Roman"/>
                <w:sz w:val="18"/>
              </w:rPr>
              <w:t>GSE113790</w:t>
            </w:r>
          </w:p>
        </w:tc>
        <w:tc>
          <w:tcPr>
            <w:tcW w:w="1512" w:type="dxa"/>
            <w:tcMar>
              <w:top w:w="70" w:type="dxa"/>
              <w:left w:w="70" w:type="dxa"/>
              <w:bottom w:w="70" w:type="dxa"/>
              <w:right w:w="70" w:type="dxa"/>
            </w:tcMar>
            <w:vAlign w:val="center"/>
          </w:tcPr>
          <w:p w14:paraId="2D5F556E" w14:textId="77777777" w:rsidR="00321CC5" w:rsidRDefault="00000000">
            <w:pPr>
              <w:spacing w:after="0" w:line="240" w:lineRule="auto"/>
            </w:pPr>
            <w:r>
              <w:rPr>
                <w:rFonts w:eastAsia="Times New Roman"/>
                <w:sz w:val="18"/>
              </w:rPr>
              <w:t>Bulk transcriptomic processed expression</w:t>
            </w:r>
          </w:p>
        </w:tc>
        <w:tc>
          <w:tcPr>
            <w:tcW w:w="1512" w:type="dxa"/>
            <w:tcMar>
              <w:top w:w="70" w:type="dxa"/>
              <w:left w:w="70" w:type="dxa"/>
              <w:bottom w:w="70" w:type="dxa"/>
              <w:right w:w="70" w:type="dxa"/>
            </w:tcMar>
            <w:vAlign w:val="center"/>
          </w:tcPr>
          <w:p w14:paraId="3D5D154F" w14:textId="77777777" w:rsidR="00321CC5" w:rsidRDefault="00000000">
            <w:pPr>
              <w:spacing w:after="0" w:line="240" w:lineRule="auto"/>
            </w:pPr>
            <w:r>
              <w:rPr>
                <w:rFonts w:eastAsia="Times New Roman"/>
                <w:sz w:val="18"/>
              </w:rPr>
              <w:t>Decidua</w:t>
            </w:r>
          </w:p>
        </w:tc>
        <w:tc>
          <w:tcPr>
            <w:tcW w:w="1368" w:type="dxa"/>
            <w:tcMar>
              <w:top w:w="70" w:type="dxa"/>
              <w:left w:w="70" w:type="dxa"/>
              <w:bottom w:w="70" w:type="dxa"/>
              <w:right w:w="70" w:type="dxa"/>
            </w:tcMar>
            <w:vAlign w:val="center"/>
          </w:tcPr>
          <w:p w14:paraId="370741F4" w14:textId="77777777" w:rsidR="00321CC5" w:rsidRDefault="00000000">
            <w:pPr>
              <w:spacing w:after="0" w:line="240" w:lineRule="auto"/>
            </w:pPr>
            <w:r>
              <w:rPr>
                <w:rFonts w:eastAsia="Times New Roman"/>
                <w:sz w:val="18"/>
              </w:rPr>
              <w:t>Control and RSA</w:t>
            </w:r>
          </w:p>
        </w:tc>
        <w:tc>
          <w:tcPr>
            <w:tcW w:w="1512" w:type="dxa"/>
            <w:tcMar>
              <w:top w:w="70" w:type="dxa"/>
              <w:left w:w="70" w:type="dxa"/>
              <w:bottom w:w="70" w:type="dxa"/>
              <w:right w:w="70" w:type="dxa"/>
            </w:tcMar>
            <w:vAlign w:val="center"/>
          </w:tcPr>
          <w:p w14:paraId="2C7A07B5" w14:textId="77777777" w:rsidR="00321CC5" w:rsidRDefault="00000000">
            <w:pPr>
              <w:spacing w:after="0" w:line="240" w:lineRule="auto"/>
            </w:pPr>
            <w:r>
              <w:rPr>
                <w:rFonts w:eastAsia="Times New Roman"/>
                <w:sz w:val="18"/>
              </w:rPr>
              <w:t>External projection cohort</w:t>
            </w:r>
          </w:p>
        </w:tc>
        <w:tc>
          <w:tcPr>
            <w:tcW w:w="1512" w:type="dxa"/>
            <w:tcMar>
              <w:top w:w="70" w:type="dxa"/>
              <w:left w:w="70" w:type="dxa"/>
              <w:bottom w:w="70" w:type="dxa"/>
              <w:right w:w="70" w:type="dxa"/>
            </w:tcMar>
            <w:vAlign w:val="center"/>
          </w:tcPr>
          <w:p w14:paraId="60866AF7" w14:textId="77777777" w:rsidR="00321CC5" w:rsidRDefault="00000000">
            <w:pPr>
              <w:spacing w:after="0" w:line="240" w:lineRule="auto"/>
            </w:pPr>
            <w:r>
              <w:rPr>
                <w:rFonts w:eastAsia="Times New Roman"/>
                <w:sz w:val="18"/>
              </w:rPr>
              <w:t>FPKM matrix imported; labels curated; within-cohort scoring</w:t>
            </w:r>
          </w:p>
        </w:tc>
        <w:tc>
          <w:tcPr>
            <w:tcW w:w="1224" w:type="dxa"/>
            <w:tcMar>
              <w:top w:w="70" w:type="dxa"/>
              <w:left w:w="70" w:type="dxa"/>
              <w:bottom w:w="70" w:type="dxa"/>
              <w:right w:w="70" w:type="dxa"/>
            </w:tcMar>
            <w:vAlign w:val="center"/>
          </w:tcPr>
          <w:p w14:paraId="1FC2791F" w14:textId="77777777" w:rsidR="00321CC5" w:rsidRDefault="00000000">
            <w:pPr>
              <w:spacing w:after="0" w:line="240" w:lineRule="auto"/>
            </w:pPr>
            <w:r>
              <w:rPr>
                <w:rFonts w:eastAsia="Times New Roman"/>
                <w:sz w:val="18"/>
              </w:rPr>
              <w:t>Very small cohort; metadata harmonization constraints</w:t>
            </w:r>
          </w:p>
        </w:tc>
      </w:tr>
      <w:tr w:rsidR="00321CC5" w14:paraId="386645CB" w14:textId="77777777">
        <w:trPr>
          <w:cantSplit/>
          <w:jc w:val="center"/>
        </w:trPr>
        <w:tc>
          <w:tcPr>
            <w:tcW w:w="1296" w:type="dxa"/>
            <w:tcMar>
              <w:top w:w="70" w:type="dxa"/>
              <w:left w:w="70" w:type="dxa"/>
              <w:bottom w:w="70" w:type="dxa"/>
              <w:right w:w="70" w:type="dxa"/>
            </w:tcMar>
            <w:vAlign w:val="center"/>
          </w:tcPr>
          <w:p w14:paraId="51B96D39" w14:textId="77777777" w:rsidR="00321CC5" w:rsidRDefault="00000000">
            <w:pPr>
              <w:spacing w:after="0" w:line="240" w:lineRule="auto"/>
            </w:pPr>
            <w:r>
              <w:rPr>
                <w:rFonts w:eastAsia="Times New Roman"/>
                <w:sz w:val="18"/>
              </w:rPr>
              <w:t>GSE178535</w:t>
            </w:r>
          </w:p>
        </w:tc>
        <w:tc>
          <w:tcPr>
            <w:tcW w:w="1512" w:type="dxa"/>
            <w:tcMar>
              <w:top w:w="70" w:type="dxa"/>
              <w:left w:w="70" w:type="dxa"/>
              <w:bottom w:w="70" w:type="dxa"/>
              <w:right w:w="70" w:type="dxa"/>
            </w:tcMar>
            <w:vAlign w:val="center"/>
          </w:tcPr>
          <w:p w14:paraId="519FFE99" w14:textId="77777777" w:rsidR="00321CC5" w:rsidRDefault="00000000">
            <w:pPr>
              <w:spacing w:after="0" w:line="240" w:lineRule="auto"/>
            </w:pPr>
            <w:r>
              <w:rPr>
                <w:rFonts w:eastAsia="Times New Roman"/>
                <w:sz w:val="18"/>
              </w:rPr>
              <w:t>Bulk transcriptomic processed expression</w:t>
            </w:r>
          </w:p>
        </w:tc>
        <w:tc>
          <w:tcPr>
            <w:tcW w:w="1512" w:type="dxa"/>
            <w:tcMar>
              <w:top w:w="70" w:type="dxa"/>
              <w:left w:w="70" w:type="dxa"/>
              <w:bottom w:w="70" w:type="dxa"/>
              <w:right w:w="70" w:type="dxa"/>
            </w:tcMar>
            <w:vAlign w:val="center"/>
          </w:tcPr>
          <w:p w14:paraId="01F70ABA" w14:textId="77777777" w:rsidR="00321CC5" w:rsidRDefault="00000000">
            <w:pPr>
              <w:spacing w:after="0" w:line="240" w:lineRule="auto"/>
            </w:pPr>
            <w:r>
              <w:rPr>
                <w:rFonts w:eastAsia="Times New Roman"/>
                <w:sz w:val="18"/>
              </w:rPr>
              <w:t>Decidua</w:t>
            </w:r>
          </w:p>
        </w:tc>
        <w:tc>
          <w:tcPr>
            <w:tcW w:w="1368" w:type="dxa"/>
            <w:tcMar>
              <w:top w:w="70" w:type="dxa"/>
              <w:left w:w="70" w:type="dxa"/>
              <w:bottom w:w="70" w:type="dxa"/>
              <w:right w:w="70" w:type="dxa"/>
            </w:tcMar>
            <w:vAlign w:val="center"/>
          </w:tcPr>
          <w:p w14:paraId="7D633E8F" w14:textId="77777777" w:rsidR="00321CC5" w:rsidRDefault="00000000">
            <w:pPr>
              <w:spacing w:after="0" w:line="240" w:lineRule="auto"/>
            </w:pPr>
            <w:r>
              <w:rPr>
                <w:rFonts w:eastAsia="Times New Roman"/>
                <w:sz w:val="18"/>
              </w:rPr>
              <w:t>Control and RSA</w:t>
            </w:r>
          </w:p>
        </w:tc>
        <w:tc>
          <w:tcPr>
            <w:tcW w:w="1512" w:type="dxa"/>
            <w:tcMar>
              <w:top w:w="70" w:type="dxa"/>
              <w:left w:w="70" w:type="dxa"/>
              <w:bottom w:w="70" w:type="dxa"/>
              <w:right w:w="70" w:type="dxa"/>
            </w:tcMar>
            <w:vAlign w:val="center"/>
          </w:tcPr>
          <w:p w14:paraId="6363EE9B" w14:textId="77777777" w:rsidR="00321CC5" w:rsidRDefault="00000000">
            <w:pPr>
              <w:spacing w:after="0" w:line="240" w:lineRule="auto"/>
            </w:pPr>
            <w:r>
              <w:rPr>
                <w:rFonts w:eastAsia="Times New Roman"/>
                <w:sz w:val="18"/>
              </w:rPr>
              <w:t>External projection cohort</w:t>
            </w:r>
          </w:p>
        </w:tc>
        <w:tc>
          <w:tcPr>
            <w:tcW w:w="1512" w:type="dxa"/>
            <w:tcMar>
              <w:top w:w="70" w:type="dxa"/>
              <w:left w:w="70" w:type="dxa"/>
              <w:bottom w:w="70" w:type="dxa"/>
              <w:right w:w="70" w:type="dxa"/>
            </w:tcMar>
            <w:vAlign w:val="center"/>
          </w:tcPr>
          <w:p w14:paraId="0BC5AE6B" w14:textId="77777777" w:rsidR="00321CC5" w:rsidRDefault="00000000">
            <w:pPr>
              <w:spacing w:after="0" w:line="240" w:lineRule="auto"/>
            </w:pPr>
            <w:r>
              <w:rPr>
                <w:rFonts w:eastAsia="Times New Roman"/>
                <w:sz w:val="18"/>
              </w:rPr>
              <w:t>Public normalized log2 matrix; labels curated; within-cohort scoring</w:t>
            </w:r>
          </w:p>
        </w:tc>
        <w:tc>
          <w:tcPr>
            <w:tcW w:w="1224" w:type="dxa"/>
            <w:tcMar>
              <w:top w:w="70" w:type="dxa"/>
              <w:left w:w="70" w:type="dxa"/>
              <w:bottom w:w="70" w:type="dxa"/>
              <w:right w:w="70" w:type="dxa"/>
            </w:tcMar>
            <w:vAlign w:val="center"/>
          </w:tcPr>
          <w:p w14:paraId="39C0E6E2" w14:textId="77777777" w:rsidR="00321CC5" w:rsidRDefault="00000000">
            <w:pPr>
              <w:spacing w:after="0" w:line="240" w:lineRule="auto"/>
            </w:pPr>
            <w:r>
              <w:rPr>
                <w:rFonts w:eastAsia="Times New Roman"/>
                <w:sz w:val="18"/>
              </w:rPr>
              <w:t>Very small cohort; platform/preprocessing differences</w:t>
            </w:r>
          </w:p>
        </w:tc>
      </w:tr>
    </w:tbl>
    <w:p w14:paraId="4690407B" w14:textId="77777777" w:rsidR="00321CC5" w:rsidRDefault="00321CC5"/>
    <w:p w14:paraId="27069051" w14:textId="77777777" w:rsidR="00321CC5" w:rsidRDefault="00000000">
      <w:pPr>
        <w:keepNext/>
        <w:pageBreakBefore/>
        <w:spacing w:before="240"/>
      </w:pPr>
      <w:r>
        <w:rPr>
          <w:rFonts w:eastAsia="Times New Roman"/>
          <w:sz w:val="21"/>
        </w:rPr>
        <w:lastRenderedPageBreak/>
        <w:t>Table 2. GSE214607-derived projection-ready signatures</w:t>
      </w:r>
    </w:p>
    <w:tbl>
      <w:tblPr>
        <w:tblStyle w:val="TableGrid"/>
        <w:tblW w:w="0" w:type="auto"/>
        <w:jc w:val="center"/>
        <w:tblLayout w:type="fixed"/>
        <w:tblLook w:val="04A0" w:firstRow="1" w:lastRow="0" w:firstColumn="1" w:lastColumn="0" w:noHBand="0" w:noVBand="1"/>
      </w:tblPr>
      <w:tblGrid>
        <w:gridCol w:w="1080"/>
        <w:gridCol w:w="1944"/>
        <w:gridCol w:w="1584"/>
        <w:gridCol w:w="648"/>
        <w:gridCol w:w="3168"/>
        <w:gridCol w:w="1512"/>
      </w:tblGrid>
      <w:tr w:rsidR="00321CC5" w14:paraId="48F8FA67" w14:textId="77777777">
        <w:trPr>
          <w:cantSplit/>
          <w:tblHeader/>
          <w:jc w:val="center"/>
        </w:trPr>
        <w:tc>
          <w:tcPr>
            <w:tcW w:w="1080" w:type="dxa"/>
            <w:shd w:val="clear" w:color="auto" w:fill="EDEDED"/>
            <w:tcMar>
              <w:top w:w="70" w:type="dxa"/>
              <w:left w:w="70" w:type="dxa"/>
              <w:bottom w:w="70" w:type="dxa"/>
              <w:right w:w="70" w:type="dxa"/>
            </w:tcMar>
            <w:vAlign w:val="center"/>
          </w:tcPr>
          <w:p w14:paraId="41DB40E7" w14:textId="77777777" w:rsidR="00321CC5" w:rsidRDefault="00000000">
            <w:pPr>
              <w:spacing w:after="0" w:line="240" w:lineRule="auto"/>
              <w:jc w:val="center"/>
            </w:pPr>
            <w:r>
              <w:rPr>
                <w:rFonts w:eastAsia="Times New Roman"/>
                <w:b/>
                <w:sz w:val="18"/>
              </w:rPr>
              <w:t>Code</w:t>
            </w:r>
          </w:p>
        </w:tc>
        <w:tc>
          <w:tcPr>
            <w:tcW w:w="1944" w:type="dxa"/>
            <w:shd w:val="clear" w:color="auto" w:fill="EDEDED"/>
            <w:tcMar>
              <w:top w:w="70" w:type="dxa"/>
              <w:left w:w="70" w:type="dxa"/>
              <w:bottom w:w="70" w:type="dxa"/>
              <w:right w:w="70" w:type="dxa"/>
            </w:tcMar>
            <w:vAlign w:val="center"/>
          </w:tcPr>
          <w:p w14:paraId="1355B0B7" w14:textId="77777777" w:rsidR="00321CC5" w:rsidRDefault="00000000">
            <w:pPr>
              <w:spacing w:after="0" w:line="240" w:lineRule="auto"/>
            </w:pPr>
            <w:r>
              <w:rPr>
                <w:rFonts w:eastAsia="Times New Roman"/>
                <w:b/>
                <w:sz w:val="18"/>
              </w:rPr>
              <w:t>Short label</w:t>
            </w:r>
          </w:p>
        </w:tc>
        <w:tc>
          <w:tcPr>
            <w:tcW w:w="1584" w:type="dxa"/>
            <w:shd w:val="clear" w:color="auto" w:fill="EDEDED"/>
            <w:tcMar>
              <w:top w:w="70" w:type="dxa"/>
              <w:left w:w="70" w:type="dxa"/>
              <w:bottom w:w="70" w:type="dxa"/>
              <w:right w:w="70" w:type="dxa"/>
            </w:tcMar>
            <w:vAlign w:val="center"/>
          </w:tcPr>
          <w:p w14:paraId="59692B4E" w14:textId="77777777" w:rsidR="00321CC5" w:rsidRDefault="00000000">
            <w:pPr>
              <w:spacing w:after="0" w:line="240" w:lineRule="auto"/>
            </w:pPr>
            <w:r>
              <w:rPr>
                <w:rFonts w:eastAsia="Times New Roman"/>
                <w:b/>
                <w:sz w:val="18"/>
              </w:rPr>
              <w:t>Source contrast</w:t>
            </w:r>
          </w:p>
        </w:tc>
        <w:tc>
          <w:tcPr>
            <w:tcW w:w="648" w:type="dxa"/>
            <w:shd w:val="clear" w:color="auto" w:fill="EDEDED"/>
            <w:tcMar>
              <w:top w:w="70" w:type="dxa"/>
              <w:left w:w="70" w:type="dxa"/>
              <w:bottom w:w="70" w:type="dxa"/>
              <w:right w:w="70" w:type="dxa"/>
            </w:tcMar>
            <w:vAlign w:val="center"/>
          </w:tcPr>
          <w:p w14:paraId="32AF2C79" w14:textId="77777777" w:rsidR="00321CC5" w:rsidRDefault="00000000">
            <w:pPr>
              <w:spacing w:after="0" w:line="240" w:lineRule="auto"/>
              <w:jc w:val="center"/>
            </w:pPr>
            <w:r>
              <w:rPr>
                <w:rFonts w:eastAsia="Times New Roman"/>
                <w:b/>
                <w:sz w:val="18"/>
              </w:rPr>
              <w:t>Genes</w:t>
            </w:r>
          </w:p>
        </w:tc>
        <w:tc>
          <w:tcPr>
            <w:tcW w:w="3168" w:type="dxa"/>
            <w:shd w:val="clear" w:color="auto" w:fill="EDEDED"/>
            <w:tcMar>
              <w:top w:w="70" w:type="dxa"/>
              <w:left w:w="70" w:type="dxa"/>
              <w:bottom w:w="70" w:type="dxa"/>
              <w:right w:w="70" w:type="dxa"/>
            </w:tcMar>
            <w:vAlign w:val="center"/>
          </w:tcPr>
          <w:p w14:paraId="0549EF55" w14:textId="77777777" w:rsidR="00321CC5" w:rsidRDefault="00000000">
            <w:pPr>
              <w:spacing w:after="0" w:line="240" w:lineRule="auto"/>
            </w:pPr>
            <w:r>
              <w:rPr>
                <w:rFonts w:eastAsia="Times New Roman"/>
                <w:b/>
                <w:sz w:val="18"/>
              </w:rPr>
              <w:t>Biological interpretation</w:t>
            </w:r>
          </w:p>
        </w:tc>
        <w:tc>
          <w:tcPr>
            <w:tcW w:w="1512" w:type="dxa"/>
            <w:shd w:val="clear" w:color="auto" w:fill="EDEDED"/>
            <w:tcMar>
              <w:top w:w="70" w:type="dxa"/>
              <w:left w:w="70" w:type="dxa"/>
              <w:bottom w:w="70" w:type="dxa"/>
              <w:right w:w="70" w:type="dxa"/>
            </w:tcMar>
            <w:vAlign w:val="center"/>
          </w:tcPr>
          <w:p w14:paraId="006F4D66" w14:textId="77777777" w:rsidR="00321CC5" w:rsidRDefault="00000000">
            <w:pPr>
              <w:spacing w:after="0" w:line="240" w:lineRule="auto"/>
            </w:pPr>
            <w:r>
              <w:rPr>
                <w:rFonts w:eastAsia="Times New Roman"/>
                <w:b/>
                <w:sz w:val="18"/>
              </w:rPr>
              <w:t>Use</w:t>
            </w:r>
          </w:p>
        </w:tc>
      </w:tr>
      <w:tr w:rsidR="00321CC5" w14:paraId="0A3A2E41" w14:textId="77777777">
        <w:trPr>
          <w:cantSplit/>
          <w:jc w:val="center"/>
        </w:trPr>
        <w:tc>
          <w:tcPr>
            <w:tcW w:w="1080" w:type="dxa"/>
            <w:tcMar>
              <w:top w:w="70" w:type="dxa"/>
              <w:left w:w="70" w:type="dxa"/>
              <w:bottom w:w="70" w:type="dxa"/>
              <w:right w:w="70" w:type="dxa"/>
            </w:tcMar>
            <w:vAlign w:val="center"/>
          </w:tcPr>
          <w:p w14:paraId="12AB0BAD" w14:textId="77777777" w:rsidR="00321CC5" w:rsidRDefault="00000000">
            <w:pPr>
              <w:spacing w:after="0" w:line="240" w:lineRule="auto"/>
              <w:jc w:val="center"/>
            </w:pPr>
            <w:r>
              <w:rPr>
                <w:rFonts w:eastAsia="Times New Roman"/>
                <w:sz w:val="18"/>
              </w:rPr>
              <w:t>M/APC-RM</w:t>
            </w:r>
          </w:p>
        </w:tc>
        <w:tc>
          <w:tcPr>
            <w:tcW w:w="1944" w:type="dxa"/>
            <w:tcMar>
              <w:top w:w="70" w:type="dxa"/>
              <w:left w:w="70" w:type="dxa"/>
              <w:bottom w:w="70" w:type="dxa"/>
              <w:right w:w="70" w:type="dxa"/>
            </w:tcMar>
            <w:vAlign w:val="center"/>
          </w:tcPr>
          <w:p w14:paraId="46EBAB03" w14:textId="77777777" w:rsidR="00321CC5" w:rsidRDefault="00000000">
            <w:pPr>
              <w:spacing w:after="0" w:line="240" w:lineRule="auto"/>
            </w:pPr>
            <w:r>
              <w:rPr>
                <w:rFonts w:eastAsia="Times New Roman"/>
                <w:sz w:val="18"/>
              </w:rPr>
              <w:t>RM decidua inflammatory macrophage/APC up</w:t>
            </w:r>
          </w:p>
        </w:tc>
        <w:tc>
          <w:tcPr>
            <w:tcW w:w="1584" w:type="dxa"/>
            <w:tcMar>
              <w:top w:w="70" w:type="dxa"/>
              <w:left w:w="70" w:type="dxa"/>
              <w:bottom w:w="70" w:type="dxa"/>
              <w:right w:w="70" w:type="dxa"/>
            </w:tcMar>
            <w:vAlign w:val="center"/>
          </w:tcPr>
          <w:p w14:paraId="5A0C70A6" w14:textId="77777777" w:rsidR="00321CC5" w:rsidRDefault="00000000">
            <w:pPr>
              <w:spacing w:after="0" w:line="240" w:lineRule="auto"/>
            </w:pPr>
            <w:r>
              <w:rPr>
                <w:rFonts w:eastAsia="Times New Roman"/>
                <w:sz w:val="18"/>
              </w:rPr>
              <w:t>RM decidua vs control decidua</w:t>
            </w:r>
          </w:p>
        </w:tc>
        <w:tc>
          <w:tcPr>
            <w:tcW w:w="648" w:type="dxa"/>
            <w:tcMar>
              <w:top w:w="70" w:type="dxa"/>
              <w:left w:w="70" w:type="dxa"/>
              <w:bottom w:w="70" w:type="dxa"/>
              <w:right w:w="70" w:type="dxa"/>
            </w:tcMar>
            <w:vAlign w:val="center"/>
          </w:tcPr>
          <w:p w14:paraId="2A4A72FD"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052A0FDB" w14:textId="77777777" w:rsidR="00321CC5" w:rsidRDefault="00000000">
            <w:pPr>
              <w:spacing w:after="0" w:line="240" w:lineRule="auto"/>
            </w:pPr>
            <w:r>
              <w:rPr>
                <w:sz w:val="18"/>
              </w:rPr>
              <w:t>Antigen-presentation, inflammatory myeloid and complement-associated macrophage/APC signature</w:t>
            </w:r>
          </w:p>
        </w:tc>
        <w:tc>
          <w:tcPr>
            <w:tcW w:w="1512" w:type="dxa"/>
            <w:tcMar>
              <w:top w:w="70" w:type="dxa"/>
              <w:left w:w="70" w:type="dxa"/>
              <w:bottom w:w="70" w:type="dxa"/>
              <w:right w:w="70" w:type="dxa"/>
            </w:tcMar>
            <w:vAlign w:val="center"/>
          </w:tcPr>
          <w:p w14:paraId="39AF0406" w14:textId="77777777" w:rsidR="00321CC5" w:rsidRDefault="00000000">
            <w:pPr>
              <w:spacing w:after="0" w:line="240" w:lineRule="auto"/>
            </w:pPr>
            <w:r>
              <w:rPr>
                <w:sz w:val="18"/>
              </w:rPr>
              <w:t>Primary signature</w:t>
            </w:r>
          </w:p>
        </w:tc>
      </w:tr>
      <w:tr w:rsidR="00321CC5" w14:paraId="628CF9BC" w14:textId="77777777">
        <w:trPr>
          <w:cantSplit/>
          <w:jc w:val="center"/>
        </w:trPr>
        <w:tc>
          <w:tcPr>
            <w:tcW w:w="1080" w:type="dxa"/>
            <w:tcMar>
              <w:top w:w="70" w:type="dxa"/>
              <w:left w:w="70" w:type="dxa"/>
              <w:bottom w:w="70" w:type="dxa"/>
              <w:right w:w="70" w:type="dxa"/>
            </w:tcMar>
            <w:vAlign w:val="center"/>
          </w:tcPr>
          <w:p w14:paraId="750D1F72" w14:textId="77777777" w:rsidR="00321CC5" w:rsidRDefault="00000000">
            <w:pPr>
              <w:spacing w:after="0" w:line="240" w:lineRule="auto"/>
              <w:jc w:val="center"/>
            </w:pPr>
            <w:r>
              <w:rPr>
                <w:rFonts w:eastAsia="Times New Roman"/>
                <w:sz w:val="18"/>
              </w:rPr>
              <w:t>DEC-IS</w:t>
            </w:r>
          </w:p>
        </w:tc>
        <w:tc>
          <w:tcPr>
            <w:tcW w:w="1944" w:type="dxa"/>
            <w:tcMar>
              <w:top w:w="70" w:type="dxa"/>
              <w:left w:w="70" w:type="dxa"/>
              <w:bottom w:w="70" w:type="dxa"/>
              <w:right w:w="70" w:type="dxa"/>
            </w:tcMar>
            <w:vAlign w:val="center"/>
          </w:tcPr>
          <w:p w14:paraId="137C3C39" w14:textId="77777777" w:rsidR="00321CC5" w:rsidRDefault="00000000">
            <w:pPr>
              <w:spacing w:after="0" w:line="240" w:lineRule="auto"/>
            </w:pPr>
            <w:r>
              <w:rPr>
                <w:rFonts w:eastAsia="Times New Roman"/>
                <w:sz w:val="18"/>
              </w:rPr>
              <w:t>Decidua immune-stromal identity</w:t>
            </w:r>
          </w:p>
        </w:tc>
        <w:tc>
          <w:tcPr>
            <w:tcW w:w="1584" w:type="dxa"/>
            <w:tcMar>
              <w:top w:w="70" w:type="dxa"/>
              <w:left w:w="70" w:type="dxa"/>
              <w:bottom w:w="70" w:type="dxa"/>
              <w:right w:w="70" w:type="dxa"/>
            </w:tcMar>
            <w:vAlign w:val="center"/>
          </w:tcPr>
          <w:p w14:paraId="201F0816" w14:textId="77777777" w:rsidR="00321CC5" w:rsidRDefault="00000000">
            <w:pPr>
              <w:spacing w:after="0" w:line="240" w:lineRule="auto"/>
            </w:pPr>
            <w:r>
              <w:rPr>
                <w:rFonts w:eastAsia="Times New Roman"/>
                <w:sz w:val="18"/>
              </w:rPr>
              <w:t>Decidua vs villi</w:t>
            </w:r>
          </w:p>
        </w:tc>
        <w:tc>
          <w:tcPr>
            <w:tcW w:w="648" w:type="dxa"/>
            <w:tcMar>
              <w:top w:w="70" w:type="dxa"/>
              <w:left w:w="70" w:type="dxa"/>
              <w:bottom w:w="70" w:type="dxa"/>
              <w:right w:w="70" w:type="dxa"/>
            </w:tcMar>
            <w:vAlign w:val="center"/>
          </w:tcPr>
          <w:p w14:paraId="6186025E"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6D15A9D6" w14:textId="77777777" w:rsidR="00321CC5" w:rsidRDefault="00000000">
            <w:pPr>
              <w:spacing w:after="0" w:line="240" w:lineRule="auto"/>
            </w:pPr>
            <w:r>
              <w:rPr>
                <w:sz w:val="18"/>
              </w:rPr>
              <w:t>Decidua-enriched immune and stromal tissue-context signature</w:t>
            </w:r>
          </w:p>
        </w:tc>
        <w:tc>
          <w:tcPr>
            <w:tcW w:w="1512" w:type="dxa"/>
            <w:tcMar>
              <w:top w:w="70" w:type="dxa"/>
              <w:left w:w="70" w:type="dxa"/>
              <w:bottom w:w="70" w:type="dxa"/>
              <w:right w:w="70" w:type="dxa"/>
            </w:tcMar>
            <w:vAlign w:val="center"/>
          </w:tcPr>
          <w:p w14:paraId="732160D6" w14:textId="77777777" w:rsidR="00321CC5" w:rsidRDefault="00000000">
            <w:pPr>
              <w:spacing w:after="0" w:line="240" w:lineRule="auto"/>
            </w:pPr>
            <w:r>
              <w:rPr>
                <w:rFonts w:eastAsia="Times New Roman"/>
                <w:sz w:val="18"/>
              </w:rPr>
              <w:t>Secondary comparator</w:t>
            </w:r>
          </w:p>
        </w:tc>
      </w:tr>
      <w:tr w:rsidR="00321CC5" w14:paraId="229CB491" w14:textId="77777777">
        <w:trPr>
          <w:cantSplit/>
          <w:jc w:val="center"/>
        </w:trPr>
        <w:tc>
          <w:tcPr>
            <w:tcW w:w="1080" w:type="dxa"/>
            <w:tcMar>
              <w:top w:w="70" w:type="dxa"/>
              <w:left w:w="70" w:type="dxa"/>
              <w:bottom w:w="70" w:type="dxa"/>
              <w:right w:w="70" w:type="dxa"/>
            </w:tcMar>
            <w:vAlign w:val="center"/>
          </w:tcPr>
          <w:p w14:paraId="55559536" w14:textId="77777777" w:rsidR="00321CC5" w:rsidRDefault="00000000">
            <w:pPr>
              <w:spacing w:after="0" w:line="240" w:lineRule="auto"/>
              <w:jc w:val="center"/>
            </w:pPr>
            <w:r>
              <w:rPr>
                <w:rFonts w:eastAsia="Times New Roman"/>
                <w:sz w:val="18"/>
              </w:rPr>
              <w:t>VIL-TE</w:t>
            </w:r>
          </w:p>
        </w:tc>
        <w:tc>
          <w:tcPr>
            <w:tcW w:w="1944" w:type="dxa"/>
            <w:tcMar>
              <w:top w:w="70" w:type="dxa"/>
              <w:left w:w="70" w:type="dxa"/>
              <w:bottom w:w="70" w:type="dxa"/>
              <w:right w:w="70" w:type="dxa"/>
            </w:tcMar>
            <w:vAlign w:val="center"/>
          </w:tcPr>
          <w:p w14:paraId="4F4A1261" w14:textId="77777777" w:rsidR="00321CC5" w:rsidRDefault="00000000">
            <w:pPr>
              <w:spacing w:after="0" w:line="240" w:lineRule="auto"/>
            </w:pPr>
            <w:r>
              <w:rPr>
                <w:rFonts w:eastAsia="Times New Roman"/>
                <w:sz w:val="18"/>
              </w:rPr>
              <w:t>Villi trophoblast/epithelial identity</w:t>
            </w:r>
          </w:p>
        </w:tc>
        <w:tc>
          <w:tcPr>
            <w:tcW w:w="1584" w:type="dxa"/>
            <w:tcMar>
              <w:top w:w="70" w:type="dxa"/>
              <w:left w:w="70" w:type="dxa"/>
              <w:bottom w:w="70" w:type="dxa"/>
              <w:right w:w="70" w:type="dxa"/>
            </w:tcMar>
            <w:vAlign w:val="center"/>
          </w:tcPr>
          <w:p w14:paraId="67B0044E" w14:textId="77777777" w:rsidR="00321CC5" w:rsidRDefault="00000000">
            <w:pPr>
              <w:spacing w:after="0" w:line="240" w:lineRule="auto"/>
            </w:pPr>
            <w:r>
              <w:rPr>
                <w:rFonts w:eastAsia="Times New Roman"/>
                <w:sz w:val="18"/>
              </w:rPr>
              <w:t>Villi vs decidua</w:t>
            </w:r>
          </w:p>
        </w:tc>
        <w:tc>
          <w:tcPr>
            <w:tcW w:w="648" w:type="dxa"/>
            <w:tcMar>
              <w:top w:w="70" w:type="dxa"/>
              <w:left w:w="70" w:type="dxa"/>
              <w:bottom w:w="70" w:type="dxa"/>
              <w:right w:w="70" w:type="dxa"/>
            </w:tcMar>
            <w:vAlign w:val="center"/>
          </w:tcPr>
          <w:p w14:paraId="66A201D8"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702DAFAE" w14:textId="77777777" w:rsidR="00321CC5" w:rsidRDefault="00000000">
            <w:pPr>
              <w:spacing w:after="0" w:line="240" w:lineRule="auto"/>
            </w:pPr>
            <w:r>
              <w:rPr>
                <w:sz w:val="18"/>
              </w:rPr>
              <w:t>Villi/trophoblast/epithelial tissue-context signature</w:t>
            </w:r>
          </w:p>
        </w:tc>
        <w:tc>
          <w:tcPr>
            <w:tcW w:w="1512" w:type="dxa"/>
            <w:tcMar>
              <w:top w:w="70" w:type="dxa"/>
              <w:left w:w="70" w:type="dxa"/>
              <w:bottom w:w="70" w:type="dxa"/>
              <w:right w:w="70" w:type="dxa"/>
            </w:tcMar>
            <w:vAlign w:val="center"/>
          </w:tcPr>
          <w:p w14:paraId="23B99BDA" w14:textId="77777777" w:rsidR="00321CC5" w:rsidRDefault="00000000">
            <w:pPr>
              <w:spacing w:after="0" w:line="240" w:lineRule="auto"/>
            </w:pPr>
            <w:r>
              <w:rPr>
                <w:rFonts w:eastAsia="Times New Roman"/>
                <w:sz w:val="18"/>
              </w:rPr>
              <w:t>Tissue-context comparator</w:t>
            </w:r>
          </w:p>
        </w:tc>
      </w:tr>
      <w:tr w:rsidR="00321CC5" w14:paraId="6CA85CAE" w14:textId="77777777">
        <w:trPr>
          <w:cantSplit/>
          <w:jc w:val="center"/>
        </w:trPr>
        <w:tc>
          <w:tcPr>
            <w:tcW w:w="1080" w:type="dxa"/>
            <w:tcMar>
              <w:top w:w="70" w:type="dxa"/>
              <w:left w:w="70" w:type="dxa"/>
              <w:bottom w:w="70" w:type="dxa"/>
              <w:right w:w="70" w:type="dxa"/>
            </w:tcMar>
            <w:vAlign w:val="center"/>
          </w:tcPr>
          <w:p w14:paraId="70C7E541" w14:textId="77777777" w:rsidR="00321CC5" w:rsidRDefault="00000000">
            <w:pPr>
              <w:spacing w:after="0" w:line="240" w:lineRule="auto"/>
              <w:jc w:val="center"/>
            </w:pPr>
            <w:r>
              <w:rPr>
                <w:rFonts w:eastAsia="Times New Roman"/>
                <w:sz w:val="18"/>
              </w:rPr>
              <w:t>VIL-ST-RM</w:t>
            </w:r>
          </w:p>
        </w:tc>
        <w:tc>
          <w:tcPr>
            <w:tcW w:w="1944" w:type="dxa"/>
            <w:tcMar>
              <w:top w:w="70" w:type="dxa"/>
              <w:left w:w="70" w:type="dxa"/>
              <w:bottom w:w="70" w:type="dxa"/>
              <w:right w:w="70" w:type="dxa"/>
            </w:tcMar>
            <w:vAlign w:val="center"/>
          </w:tcPr>
          <w:p w14:paraId="3FB2F2DD" w14:textId="77777777" w:rsidR="00321CC5" w:rsidRDefault="00000000">
            <w:pPr>
              <w:spacing w:after="0" w:line="240" w:lineRule="auto"/>
            </w:pPr>
            <w:r>
              <w:rPr>
                <w:sz w:val="18"/>
              </w:rPr>
              <w:t>RM villi structural/trophoblast signature</w:t>
            </w:r>
          </w:p>
        </w:tc>
        <w:tc>
          <w:tcPr>
            <w:tcW w:w="1584" w:type="dxa"/>
            <w:tcMar>
              <w:top w:w="70" w:type="dxa"/>
              <w:left w:w="70" w:type="dxa"/>
              <w:bottom w:w="70" w:type="dxa"/>
              <w:right w:w="70" w:type="dxa"/>
            </w:tcMar>
            <w:vAlign w:val="center"/>
          </w:tcPr>
          <w:p w14:paraId="4F1BD2B0" w14:textId="77777777" w:rsidR="00321CC5" w:rsidRDefault="00000000">
            <w:pPr>
              <w:spacing w:after="0" w:line="240" w:lineRule="auto"/>
            </w:pPr>
            <w:r>
              <w:rPr>
                <w:rFonts w:eastAsia="Times New Roman"/>
                <w:sz w:val="18"/>
              </w:rPr>
              <w:t>RM villi vs control villi</w:t>
            </w:r>
          </w:p>
        </w:tc>
        <w:tc>
          <w:tcPr>
            <w:tcW w:w="648" w:type="dxa"/>
            <w:tcMar>
              <w:top w:w="70" w:type="dxa"/>
              <w:left w:w="70" w:type="dxa"/>
              <w:bottom w:w="70" w:type="dxa"/>
              <w:right w:w="70" w:type="dxa"/>
            </w:tcMar>
            <w:vAlign w:val="center"/>
          </w:tcPr>
          <w:p w14:paraId="796E91EF"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21E18286" w14:textId="77777777" w:rsidR="00321CC5" w:rsidRDefault="00000000">
            <w:pPr>
              <w:spacing w:after="0" w:line="240" w:lineRule="auto"/>
            </w:pPr>
            <w:r>
              <w:rPr>
                <w:sz w:val="18"/>
              </w:rPr>
              <w:t>Villi structural/trophoblast-associated signature</w:t>
            </w:r>
          </w:p>
        </w:tc>
        <w:tc>
          <w:tcPr>
            <w:tcW w:w="1512" w:type="dxa"/>
            <w:tcMar>
              <w:top w:w="70" w:type="dxa"/>
              <w:left w:w="70" w:type="dxa"/>
              <w:bottom w:w="70" w:type="dxa"/>
              <w:right w:w="70" w:type="dxa"/>
            </w:tcMar>
            <w:vAlign w:val="center"/>
          </w:tcPr>
          <w:p w14:paraId="63591C87" w14:textId="77777777" w:rsidR="00321CC5" w:rsidRDefault="00000000">
            <w:pPr>
              <w:spacing w:after="0" w:line="240" w:lineRule="auto"/>
            </w:pPr>
            <w:r>
              <w:rPr>
                <w:rFonts w:eastAsia="Times New Roman"/>
                <w:sz w:val="18"/>
              </w:rPr>
              <w:t>Secondary tissue-context comparator</w:t>
            </w:r>
          </w:p>
        </w:tc>
      </w:tr>
    </w:tbl>
    <w:p w14:paraId="11F85FCC" w14:textId="77777777" w:rsidR="00321CC5" w:rsidRDefault="00321CC5"/>
    <w:p w14:paraId="007FCDD6" w14:textId="77777777" w:rsidR="00321CC5" w:rsidRDefault="00000000">
      <w:pPr>
        <w:keepNext/>
        <w:pageBreakBefore/>
        <w:spacing w:before="240"/>
      </w:pPr>
      <w:r>
        <w:t>Table 3. Three-cohort signature recurrence summary</w:t>
      </w:r>
    </w:p>
    <w:tbl>
      <w:tblPr>
        <w:tblStyle w:val="TableGrid"/>
        <w:tblW w:w="0" w:type="auto"/>
        <w:jc w:val="center"/>
        <w:tblLayout w:type="fixed"/>
        <w:tblLook w:val="04A0" w:firstRow="1" w:lastRow="0" w:firstColumn="1" w:lastColumn="0" w:noHBand="0" w:noVBand="1"/>
      </w:tblPr>
      <w:tblGrid>
        <w:gridCol w:w="2088"/>
        <w:gridCol w:w="1180"/>
        <w:gridCol w:w="1180"/>
        <w:gridCol w:w="1180"/>
        <w:gridCol w:w="1080"/>
        <w:gridCol w:w="1080"/>
        <w:gridCol w:w="2145"/>
      </w:tblGrid>
      <w:tr w:rsidR="00321CC5" w14:paraId="6AE9EDB2" w14:textId="77777777">
        <w:trPr>
          <w:cantSplit/>
          <w:tblHeader/>
          <w:jc w:val="center"/>
        </w:trPr>
        <w:tc>
          <w:tcPr>
            <w:tcW w:w="2088" w:type="dxa"/>
            <w:shd w:val="clear" w:color="auto" w:fill="EDEDED"/>
            <w:tcMar>
              <w:top w:w="70" w:type="dxa"/>
              <w:left w:w="70" w:type="dxa"/>
              <w:bottom w:w="70" w:type="dxa"/>
              <w:right w:w="70" w:type="dxa"/>
            </w:tcMar>
            <w:vAlign w:val="center"/>
          </w:tcPr>
          <w:p w14:paraId="42082B1D" w14:textId="77777777" w:rsidR="00321CC5" w:rsidRDefault="00000000">
            <w:pPr>
              <w:spacing w:after="0"/>
            </w:pPr>
            <w:r>
              <w:rPr>
                <w:b/>
                <w:sz w:val="18"/>
              </w:rPr>
              <w:t>Signature</w:t>
            </w:r>
          </w:p>
        </w:tc>
        <w:tc>
          <w:tcPr>
            <w:tcW w:w="1180" w:type="dxa"/>
            <w:shd w:val="clear" w:color="auto" w:fill="EDEDED"/>
            <w:tcMar>
              <w:top w:w="70" w:type="dxa"/>
              <w:left w:w="70" w:type="dxa"/>
              <w:bottom w:w="70" w:type="dxa"/>
              <w:right w:w="70" w:type="dxa"/>
            </w:tcMar>
            <w:vAlign w:val="center"/>
          </w:tcPr>
          <w:p w14:paraId="4E6ABCFF" w14:textId="77777777" w:rsidR="00321CC5" w:rsidRDefault="00000000">
            <w:pPr>
              <w:spacing w:after="0" w:line="240" w:lineRule="auto"/>
              <w:jc w:val="center"/>
            </w:pPr>
            <w:r>
              <w:rPr>
                <w:rFonts w:eastAsia="Times New Roman"/>
                <w:b/>
                <w:sz w:val="18"/>
              </w:rPr>
              <w:t>GSE161969 delta</w:t>
            </w:r>
          </w:p>
        </w:tc>
        <w:tc>
          <w:tcPr>
            <w:tcW w:w="1180" w:type="dxa"/>
            <w:shd w:val="clear" w:color="auto" w:fill="EDEDED"/>
            <w:tcMar>
              <w:top w:w="70" w:type="dxa"/>
              <w:left w:w="70" w:type="dxa"/>
              <w:bottom w:w="70" w:type="dxa"/>
              <w:right w:w="70" w:type="dxa"/>
            </w:tcMar>
            <w:vAlign w:val="center"/>
          </w:tcPr>
          <w:p w14:paraId="6FE1502F" w14:textId="77777777" w:rsidR="00321CC5" w:rsidRDefault="00000000">
            <w:pPr>
              <w:spacing w:after="0" w:line="240" w:lineRule="auto"/>
              <w:jc w:val="center"/>
            </w:pPr>
            <w:r>
              <w:rPr>
                <w:rFonts w:eastAsia="Times New Roman"/>
                <w:b/>
                <w:sz w:val="18"/>
              </w:rPr>
              <w:t>GSE113790 delta</w:t>
            </w:r>
          </w:p>
        </w:tc>
        <w:tc>
          <w:tcPr>
            <w:tcW w:w="1180" w:type="dxa"/>
            <w:shd w:val="clear" w:color="auto" w:fill="EDEDED"/>
            <w:tcMar>
              <w:top w:w="70" w:type="dxa"/>
              <w:left w:w="70" w:type="dxa"/>
              <w:bottom w:w="70" w:type="dxa"/>
              <w:right w:w="70" w:type="dxa"/>
            </w:tcMar>
            <w:vAlign w:val="center"/>
          </w:tcPr>
          <w:p w14:paraId="31CE1B34" w14:textId="77777777" w:rsidR="00321CC5" w:rsidRDefault="00000000">
            <w:pPr>
              <w:spacing w:after="0" w:line="240" w:lineRule="auto"/>
              <w:jc w:val="center"/>
            </w:pPr>
            <w:r>
              <w:rPr>
                <w:rFonts w:eastAsia="Times New Roman"/>
                <w:b/>
                <w:sz w:val="18"/>
              </w:rPr>
              <w:t>GSE178535 delta</w:t>
            </w:r>
          </w:p>
        </w:tc>
        <w:tc>
          <w:tcPr>
            <w:tcW w:w="1080" w:type="dxa"/>
            <w:shd w:val="clear" w:color="auto" w:fill="EDEDED"/>
            <w:tcMar>
              <w:top w:w="70" w:type="dxa"/>
              <w:left w:w="70" w:type="dxa"/>
              <w:bottom w:w="70" w:type="dxa"/>
              <w:right w:w="70" w:type="dxa"/>
            </w:tcMar>
            <w:vAlign w:val="center"/>
          </w:tcPr>
          <w:p w14:paraId="4AF664BE" w14:textId="77777777" w:rsidR="00321CC5" w:rsidRDefault="00000000">
            <w:pPr>
              <w:spacing w:after="0" w:line="240" w:lineRule="auto"/>
              <w:jc w:val="center"/>
            </w:pPr>
            <w:r>
              <w:rPr>
                <w:rFonts w:eastAsia="Times New Roman"/>
                <w:b/>
                <w:sz w:val="18"/>
              </w:rPr>
              <w:t>Positive cohorts</w:t>
            </w:r>
          </w:p>
        </w:tc>
        <w:tc>
          <w:tcPr>
            <w:tcW w:w="1080" w:type="dxa"/>
            <w:shd w:val="clear" w:color="auto" w:fill="EDEDED"/>
            <w:tcMar>
              <w:top w:w="70" w:type="dxa"/>
              <w:left w:w="70" w:type="dxa"/>
              <w:bottom w:w="70" w:type="dxa"/>
              <w:right w:w="70" w:type="dxa"/>
            </w:tcMar>
            <w:vAlign w:val="center"/>
          </w:tcPr>
          <w:p w14:paraId="6983B878" w14:textId="77777777" w:rsidR="00321CC5" w:rsidRDefault="00000000">
            <w:pPr>
              <w:spacing w:after="0" w:line="240" w:lineRule="auto"/>
              <w:jc w:val="center"/>
            </w:pPr>
            <w:r>
              <w:rPr>
                <w:rFonts w:eastAsia="Times New Roman"/>
                <w:b/>
                <w:sz w:val="18"/>
              </w:rPr>
              <w:t>Minimum coverage</w:t>
            </w:r>
          </w:p>
        </w:tc>
        <w:tc>
          <w:tcPr>
            <w:tcW w:w="2145" w:type="dxa"/>
            <w:shd w:val="clear" w:color="auto" w:fill="EDEDED"/>
            <w:tcMar>
              <w:top w:w="70" w:type="dxa"/>
              <w:left w:w="70" w:type="dxa"/>
              <w:bottom w:w="70" w:type="dxa"/>
              <w:right w:w="70" w:type="dxa"/>
            </w:tcMar>
            <w:vAlign w:val="center"/>
          </w:tcPr>
          <w:p w14:paraId="7D48BF90" w14:textId="77777777" w:rsidR="00321CC5" w:rsidRDefault="00000000">
            <w:pPr>
              <w:spacing w:after="0" w:line="240" w:lineRule="auto"/>
            </w:pPr>
            <w:r>
              <w:rPr>
                <w:rFonts w:eastAsia="Times New Roman"/>
                <w:b/>
                <w:sz w:val="18"/>
              </w:rPr>
              <w:t>Concordance interpretation</w:t>
            </w:r>
          </w:p>
        </w:tc>
      </w:tr>
      <w:tr w:rsidR="00321CC5" w14:paraId="2075F715" w14:textId="77777777">
        <w:trPr>
          <w:cantSplit/>
          <w:jc w:val="center"/>
        </w:trPr>
        <w:tc>
          <w:tcPr>
            <w:tcW w:w="2088" w:type="dxa"/>
            <w:tcMar>
              <w:top w:w="70" w:type="dxa"/>
              <w:left w:w="70" w:type="dxa"/>
              <w:bottom w:w="70" w:type="dxa"/>
              <w:right w:w="70" w:type="dxa"/>
            </w:tcMar>
            <w:vAlign w:val="center"/>
          </w:tcPr>
          <w:p w14:paraId="2B50C591" w14:textId="77777777" w:rsidR="00321CC5" w:rsidRDefault="00000000">
            <w:pPr>
              <w:spacing w:after="0"/>
            </w:pPr>
            <w:r>
              <w:rPr>
                <w:rFonts w:eastAsia="Times New Roman"/>
                <w:sz w:val="18"/>
              </w:rPr>
              <w:t>RM decidua</w:t>
            </w:r>
            <w:r>
              <w:rPr>
                <w:sz w:val="18"/>
              </w:rPr>
              <w:br/>
            </w:r>
            <w:r>
              <w:rPr>
                <w:rFonts w:eastAsia="Times New Roman"/>
                <w:sz w:val="18"/>
              </w:rPr>
              <w:t>macrophage/APC</w:t>
            </w:r>
          </w:p>
        </w:tc>
        <w:tc>
          <w:tcPr>
            <w:tcW w:w="1180" w:type="dxa"/>
            <w:tcMar>
              <w:top w:w="70" w:type="dxa"/>
              <w:left w:w="70" w:type="dxa"/>
              <w:bottom w:w="70" w:type="dxa"/>
              <w:right w:w="70" w:type="dxa"/>
            </w:tcMar>
            <w:vAlign w:val="center"/>
          </w:tcPr>
          <w:p w14:paraId="54B827E9" w14:textId="77777777" w:rsidR="00321CC5" w:rsidRDefault="00000000">
            <w:pPr>
              <w:spacing w:after="0" w:line="240" w:lineRule="auto"/>
              <w:jc w:val="center"/>
            </w:pPr>
            <w:r>
              <w:rPr>
                <w:rFonts w:eastAsia="Times New Roman"/>
                <w:sz w:val="18"/>
              </w:rPr>
              <w:t>+1.019</w:t>
            </w:r>
          </w:p>
        </w:tc>
        <w:tc>
          <w:tcPr>
            <w:tcW w:w="1180" w:type="dxa"/>
            <w:tcMar>
              <w:top w:w="70" w:type="dxa"/>
              <w:left w:w="70" w:type="dxa"/>
              <w:bottom w:w="70" w:type="dxa"/>
              <w:right w:w="70" w:type="dxa"/>
            </w:tcMar>
            <w:vAlign w:val="center"/>
          </w:tcPr>
          <w:p w14:paraId="37E0067D" w14:textId="77777777" w:rsidR="00321CC5" w:rsidRDefault="00000000">
            <w:pPr>
              <w:spacing w:after="0" w:line="240" w:lineRule="auto"/>
              <w:jc w:val="center"/>
            </w:pPr>
            <w:r>
              <w:rPr>
                <w:rFonts w:eastAsia="Times New Roman"/>
                <w:sz w:val="18"/>
              </w:rPr>
              <w:t>+0.282</w:t>
            </w:r>
          </w:p>
        </w:tc>
        <w:tc>
          <w:tcPr>
            <w:tcW w:w="1180" w:type="dxa"/>
            <w:tcMar>
              <w:top w:w="70" w:type="dxa"/>
              <w:left w:w="70" w:type="dxa"/>
              <w:bottom w:w="70" w:type="dxa"/>
              <w:right w:w="70" w:type="dxa"/>
            </w:tcMar>
            <w:vAlign w:val="center"/>
          </w:tcPr>
          <w:p w14:paraId="2865B204" w14:textId="77777777" w:rsidR="00321CC5" w:rsidRDefault="00000000">
            <w:pPr>
              <w:spacing w:after="0" w:line="240" w:lineRule="auto"/>
              <w:jc w:val="center"/>
            </w:pPr>
            <w:r>
              <w:rPr>
                <w:rFonts w:eastAsia="Times New Roman"/>
                <w:sz w:val="18"/>
              </w:rPr>
              <w:t>+0.941</w:t>
            </w:r>
          </w:p>
        </w:tc>
        <w:tc>
          <w:tcPr>
            <w:tcW w:w="1080" w:type="dxa"/>
            <w:tcMar>
              <w:top w:w="70" w:type="dxa"/>
              <w:left w:w="70" w:type="dxa"/>
              <w:bottom w:w="70" w:type="dxa"/>
              <w:right w:w="70" w:type="dxa"/>
            </w:tcMar>
            <w:vAlign w:val="center"/>
          </w:tcPr>
          <w:p w14:paraId="606B1DAA" w14:textId="77777777" w:rsidR="00321CC5" w:rsidRDefault="00000000">
            <w:pPr>
              <w:spacing w:after="0" w:line="240" w:lineRule="auto"/>
              <w:jc w:val="center"/>
            </w:pPr>
            <w:r>
              <w:rPr>
                <w:rFonts w:eastAsia="Times New Roman"/>
                <w:sz w:val="18"/>
              </w:rPr>
              <w:t>3/3</w:t>
            </w:r>
          </w:p>
        </w:tc>
        <w:tc>
          <w:tcPr>
            <w:tcW w:w="1080" w:type="dxa"/>
            <w:tcMar>
              <w:top w:w="70" w:type="dxa"/>
              <w:left w:w="70" w:type="dxa"/>
              <w:bottom w:w="70" w:type="dxa"/>
              <w:right w:w="70" w:type="dxa"/>
            </w:tcMar>
            <w:vAlign w:val="center"/>
          </w:tcPr>
          <w:p w14:paraId="085DF746" w14:textId="77777777" w:rsidR="00321CC5" w:rsidRDefault="00000000">
            <w:pPr>
              <w:spacing w:after="0" w:line="240" w:lineRule="auto"/>
              <w:jc w:val="center"/>
            </w:pPr>
            <w:r>
              <w:rPr>
                <w:rFonts w:eastAsia="Times New Roman"/>
                <w:sz w:val="18"/>
              </w:rPr>
              <w:t>100%</w:t>
            </w:r>
          </w:p>
        </w:tc>
        <w:tc>
          <w:tcPr>
            <w:tcW w:w="2145" w:type="dxa"/>
            <w:tcMar>
              <w:top w:w="70" w:type="dxa"/>
              <w:left w:w="70" w:type="dxa"/>
              <w:bottom w:w="70" w:type="dxa"/>
              <w:right w:w="70" w:type="dxa"/>
            </w:tcMar>
            <w:vAlign w:val="center"/>
          </w:tcPr>
          <w:p w14:paraId="17E3FD37" w14:textId="77777777" w:rsidR="00321CC5" w:rsidRDefault="00000000">
            <w:pPr>
              <w:spacing w:after="0" w:line="240" w:lineRule="auto"/>
            </w:pPr>
            <w:r>
              <w:rPr>
                <w:rFonts w:eastAsia="Times New Roman"/>
                <w:sz w:val="18"/>
              </w:rPr>
              <w:t>Concordant positive directional signal</w:t>
            </w:r>
          </w:p>
        </w:tc>
      </w:tr>
      <w:tr w:rsidR="00321CC5" w14:paraId="172379F1" w14:textId="77777777">
        <w:trPr>
          <w:cantSplit/>
          <w:jc w:val="center"/>
        </w:trPr>
        <w:tc>
          <w:tcPr>
            <w:tcW w:w="2088" w:type="dxa"/>
            <w:tcMar>
              <w:top w:w="70" w:type="dxa"/>
              <w:left w:w="70" w:type="dxa"/>
              <w:bottom w:w="70" w:type="dxa"/>
              <w:right w:w="70" w:type="dxa"/>
            </w:tcMar>
            <w:vAlign w:val="center"/>
          </w:tcPr>
          <w:p w14:paraId="68949AC5" w14:textId="77777777" w:rsidR="00321CC5" w:rsidRDefault="00000000">
            <w:pPr>
              <w:spacing w:after="0"/>
            </w:pPr>
            <w:r>
              <w:rPr>
                <w:rFonts w:eastAsia="Times New Roman"/>
                <w:sz w:val="18"/>
              </w:rPr>
              <w:t>Decidua immune-</w:t>
            </w:r>
            <w:r>
              <w:rPr>
                <w:sz w:val="18"/>
              </w:rPr>
              <w:br/>
            </w:r>
            <w:r>
              <w:rPr>
                <w:rFonts w:eastAsia="Times New Roman"/>
                <w:sz w:val="18"/>
              </w:rPr>
              <w:t>stromal</w:t>
            </w:r>
          </w:p>
        </w:tc>
        <w:tc>
          <w:tcPr>
            <w:tcW w:w="1180" w:type="dxa"/>
            <w:tcMar>
              <w:top w:w="70" w:type="dxa"/>
              <w:left w:w="70" w:type="dxa"/>
              <w:bottom w:w="70" w:type="dxa"/>
              <w:right w:w="70" w:type="dxa"/>
            </w:tcMar>
            <w:vAlign w:val="center"/>
          </w:tcPr>
          <w:p w14:paraId="280275F9" w14:textId="77777777" w:rsidR="00321CC5" w:rsidRDefault="00000000">
            <w:pPr>
              <w:spacing w:after="0" w:line="240" w:lineRule="auto"/>
              <w:jc w:val="center"/>
            </w:pPr>
            <w:r>
              <w:rPr>
                <w:rFonts w:eastAsia="Times New Roman"/>
                <w:sz w:val="18"/>
              </w:rPr>
              <w:t>+0.573</w:t>
            </w:r>
          </w:p>
        </w:tc>
        <w:tc>
          <w:tcPr>
            <w:tcW w:w="1180" w:type="dxa"/>
            <w:tcMar>
              <w:top w:w="70" w:type="dxa"/>
              <w:left w:w="70" w:type="dxa"/>
              <w:bottom w:w="70" w:type="dxa"/>
              <w:right w:w="70" w:type="dxa"/>
            </w:tcMar>
            <w:vAlign w:val="center"/>
          </w:tcPr>
          <w:p w14:paraId="01749559" w14:textId="77777777" w:rsidR="00321CC5" w:rsidRDefault="00000000">
            <w:pPr>
              <w:spacing w:after="0" w:line="240" w:lineRule="auto"/>
              <w:jc w:val="center"/>
            </w:pPr>
            <w:r>
              <w:rPr>
                <w:rFonts w:eastAsia="Times New Roman"/>
                <w:sz w:val="18"/>
              </w:rPr>
              <w:t>+0.206</w:t>
            </w:r>
          </w:p>
        </w:tc>
        <w:tc>
          <w:tcPr>
            <w:tcW w:w="1180" w:type="dxa"/>
            <w:tcMar>
              <w:top w:w="70" w:type="dxa"/>
              <w:left w:w="70" w:type="dxa"/>
              <w:bottom w:w="70" w:type="dxa"/>
              <w:right w:w="70" w:type="dxa"/>
            </w:tcMar>
            <w:vAlign w:val="center"/>
          </w:tcPr>
          <w:p w14:paraId="70921A2C" w14:textId="77777777" w:rsidR="00321CC5" w:rsidRDefault="00000000">
            <w:pPr>
              <w:spacing w:after="0" w:line="240" w:lineRule="auto"/>
              <w:jc w:val="center"/>
            </w:pPr>
            <w:r>
              <w:rPr>
                <w:rFonts w:eastAsia="Times New Roman"/>
                <w:sz w:val="18"/>
              </w:rPr>
              <w:t>+0.031</w:t>
            </w:r>
          </w:p>
        </w:tc>
        <w:tc>
          <w:tcPr>
            <w:tcW w:w="1080" w:type="dxa"/>
            <w:tcMar>
              <w:top w:w="70" w:type="dxa"/>
              <w:left w:w="70" w:type="dxa"/>
              <w:bottom w:w="70" w:type="dxa"/>
              <w:right w:w="70" w:type="dxa"/>
            </w:tcMar>
            <w:vAlign w:val="center"/>
          </w:tcPr>
          <w:p w14:paraId="3002F595" w14:textId="77777777" w:rsidR="00321CC5" w:rsidRDefault="00000000">
            <w:pPr>
              <w:spacing w:after="0" w:line="240" w:lineRule="auto"/>
              <w:jc w:val="center"/>
            </w:pPr>
            <w:r>
              <w:rPr>
                <w:rFonts w:eastAsia="Times New Roman"/>
                <w:sz w:val="18"/>
              </w:rPr>
              <w:t>3/3</w:t>
            </w:r>
          </w:p>
        </w:tc>
        <w:tc>
          <w:tcPr>
            <w:tcW w:w="1080" w:type="dxa"/>
            <w:tcMar>
              <w:top w:w="70" w:type="dxa"/>
              <w:left w:w="70" w:type="dxa"/>
              <w:bottom w:w="70" w:type="dxa"/>
              <w:right w:w="70" w:type="dxa"/>
            </w:tcMar>
            <w:vAlign w:val="center"/>
          </w:tcPr>
          <w:p w14:paraId="7C943436" w14:textId="77777777" w:rsidR="00321CC5" w:rsidRDefault="00000000">
            <w:pPr>
              <w:spacing w:after="0" w:line="240" w:lineRule="auto"/>
              <w:jc w:val="center"/>
            </w:pPr>
            <w:r>
              <w:rPr>
                <w:rFonts w:eastAsia="Times New Roman"/>
                <w:sz w:val="18"/>
              </w:rPr>
              <w:t>96.7%</w:t>
            </w:r>
          </w:p>
        </w:tc>
        <w:tc>
          <w:tcPr>
            <w:tcW w:w="2145" w:type="dxa"/>
            <w:tcMar>
              <w:top w:w="70" w:type="dxa"/>
              <w:left w:w="70" w:type="dxa"/>
              <w:bottom w:w="70" w:type="dxa"/>
              <w:right w:w="70" w:type="dxa"/>
            </w:tcMar>
            <w:vAlign w:val="center"/>
          </w:tcPr>
          <w:p w14:paraId="5CA3E8B6" w14:textId="77777777" w:rsidR="00321CC5" w:rsidRDefault="00000000">
            <w:pPr>
              <w:spacing w:after="0" w:line="240" w:lineRule="auto"/>
            </w:pPr>
            <w:r>
              <w:rPr>
                <w:rFonts w:eastAsia="Times New Roman"/>
                <w:sz w:val="18"/>
              </w:rPr>
              <w:t>Positive but weaker/context-dependent</w:t>
            </w:r>
          </w:p>
        </w:tc>
      </w:tr>
      <w:tr w:rsidR="00321CC5" w14:paraId="5DD720C4" w14:textId="77777777">
        <w:trPr>
          <w:cantSplit/>
          <w:jc w:val="center"/>
        </w:trPr>
        <w:tc>
          <w:tcPr>
            <w:tcW w:w="2088" w:type="dxa"/>
            <w:tcMar>
              <w:top w:w="70" w:type="dxa"/>
              <w:left w:w="70" w:type="dxa"/>
              <w:bottom w:w="70" w:type="dxa"/>
              <w:right w:w="70" w:type="dxa"/>
            </w:tcMar>
            <w:vAlign w:val="center"/>
          </w:tcPr>
          <w:p w14:paraId="4709D4A3" w14:textId="77777777" w:rsidR="00321CC5" w:rsidRDefault="00000000">
            <w:pPr>
              <w:spacing w:after="0"/>
            </w:pPr>
            <w:r>
              <w:rPr>
                <w:rFonts w:eastAsia="Times New Roman"/>
                <w:sz w:val="18"/>
              </w:rPr>
              <w:t>Villi trophoblast/</w:t>
            </w:r>
            <w:r>
              <w:rPr>
                <w:sz w:val="18"/>
              </w:rPr>
              <w:br/>
            </w:r>
            <w:r>
              <w:rPr>
                <w:rFonts w:eastAsia="Times New Roman"/>
                <w:sz w:val="18"/>
              </w:rPr>
              <w:t>epithelial</w:t>
            </w:r>
          </w:p>
        </w:tc>
        <w:tc>
          <w:tcPr>
            <w:tcW w:w="1180" w:type="dxa"/>
            <w:tcMar>
              <w:top w:w="70" w:type="dxa"/>
              <w:left w:w="70" w:type="dxa"/>
              <w:bottom w:w="70" w:type="dxa"/>
              <w:right w:w="70" w:type="dxa"/>
            </w:tcMar>
            <w:vAlign w:val="center"/>
          </w:tcPr>
          <w:p w14:paraId="5F2F52FF" w14:textId="77777777" w:rsidR="00321CC5" w:rsidRDefault="00000000">
            <w:pPr>
              <w:spacing w:after="0" w:line="240" w:lineRule="auto"/>
              <w:jc w:val="center"/>
            </w:pPr>
            <w:r>
              <w:rPr>
                <w:rFonts w:eastAsia="Times New Roman"/>
                <w:sz w:val="18"/>
              </w:rPr>
              <w:t>+0.134</w:t>
            </w:r>
          </w:p>
        </w:tc>
        <w:tc>
          <w:tcPr>
            <w:tcW w:w="1180" w:type="dxa"/>
            <w:tcMar>
              <w:top w:w="70" w:type="dxa"/>
              <w:left w:w="70" w:type="dxa"/>
              <w:bottom w:w="70" w:type="dxa"/>
              <w:right w:w="70" w:type="dxa"/>
            </w:tcMar>
            <w:vAlign w:val="center"/>
          </w:tcPr>
          <w:p w14:paraId="358FDC0D" w14:textId="77777777" w:rsidR="00321CC5" w:rsidRDefault="00000000">
            <w:pPr>
              <w:spacing w:after="0" w:line="240" w:lineRule="auto"/>
              <w:jc w:val="center"/>
            </w:pPr>
            <w:r>
              <w:rPr>
                <w:rFonts w:eastAsia="Times New Roman"/>
                <w:sz w:val="18"/>
              </w:rPr>
              <w:t>+0.406</w:t>
            </w:r>
          </w:p>
        </w:tc>
        <w:tc>
          <w:tcPr>
            <w:tcW w:w="1180" w:type="dxa"/>
            <w:tcMar>
              <w:top w:w="70" w:type="dxa"/>
              <w:left w:w="70" w:type="dxa"/>
              <w:bottom w:w="70" w:type="dxa"/>
              <w:right w:w="70" w:type="dxa"/>
            </w:tcMar>
            <w:vAlign w:val="center"/>
          </w:tcPr>
          <w:p w14:paraId="6AF9A946" w14:textId="77777777" w:rsidR="00321CC5" w:rsidRDefault="00000000">
            <w:pPr>
              <w:spacing w:after="0" w:line="240" w:lineRule="auto"/>
              <w:jc w:val="center"/>
            </w:pPr>
            <w:r>
              <w:rPr>
                <w:rFonts w:eastAsia="Times New Roman"/>
                <w:sz w:val="18"/>
              </w:rPr>
              <w:t>+0.156</w:t>
            </w:r>
          </w:p>
        </w:tc>
        <w:tc>
          <w:tcPr>
            <w:tcW w:w="1080" w:type="dxa"/>
            <w:tcMar>
              <w:top w:w="70" w:type="dxa"/>
              <w:left w:w="70" w:type="dxa"/>
              <w:bottom w:w="70" w:type="dxa"/>
              <w:right w:w="70" w:type="dxa"/>
            </w:tcMar>
            <w:vAlign w:val="center"/>
          </w:tcPr>
          <w:p w14:paraId="06DFD85F" w14:textId="77777777" w:rsidR="00321CC5" w:rsidRDefault="00000000">
            <w:pPr>
              <w:spacing w:after="0" w:line="240" w:lineRule="auto"/>
              <w:jc w:val="center"/>
            </w:pPr>
            <w:r>
              <w:rPr>
                <w:rFonts w:eastAsia="Times New Roman"/>
                <w:sz w:val="18"/>
              </w:rPr>
              <w:t>3/3</w:t>
            </w:r>
          </w:p>
        </w:tc>
        <w:tc>
          <w:tcPr>
            <w:tcW w:w="1080" w:type="dxa"/>
            <w:tcMar>
              <w:top w:w="70" w:type="dxa"/>
              <w:left w:w="70" w:type="dxa"/>
              <w:bottom w:w="70" w:type="dxa"/>
              <w:right w:w="70" w:type="dxa"/>
            </w:tcMar>
            <w:vAlign w:val="center"/>
          </w:tcPr>
          <w:p w14:paraId="547C6464" w14:textId="77777777" w:rsidR="00321CC5" w:rsidRDefault="00000000">
            <w:pPr>
              <w:spacing w:after="0" w:line="240" w:lineRule="auto"/>
              <w:jc w:val="center"/>
            </w:pPr>
            <w:r>
              <w:rPr>
                <w:rFonts w:eastAsia="Times New Roman"/>
                <w:sz w:val="18"/>
              </w:rPr>
              <w:t>100%</w:t>
            </w:r>
          </w:p>
        </w:tc>
        <w:tc>
          <w:tcPr>
            <w:tcW w:w="2145" w:type="dxa"/>
            <w:tcMar>
              <w:top w:w="70" w:type="dxa"/>
              <w:left w:w="70" w:type="dxa"/>
              <w:bottom w:w="70" w:type="dxa"/>
              <w:right w:w="70" w:type="dxa"/>
            </w:tcMar>
            <w:vAlign w:val="center"/>
          </w:tcPr>
          <w:p w14:paraId="43242CCA" w14:textId="77777777" w:rsidR="00321CC5" w:rsidRDefault="00000000">
            <w:pPr>
              <w:spacing w:after="0" w:line="240" w:lineRule="auto"/>
            </w:pPr>
            <w:r>
              <w:rPr>
                <w:rFonts w:eastAsia="Times New Roman"/>
                <w:sz w:val="18"/>
              </w:rPr>
              <w:t>Modest positive; tissue-context dependent</w:t>
            </w:r>
          </w:p>
        </w:tc>
      </w:tr>
      <w:tr w:rsidR="00321CC5" w14:paraId="59F6684F" w14:textId="77777777">
        <w:trPr>
          <w:cantSplit/>
          <w:jc w:val="center"/>
        </w:trPr>
        <w:tc>
          <w:tcPr>
            <w:tcW w:w="2088" w:type="dxa"/>
            <w:tcMar>
              <w:top w:w="70" w:type="dxa"/>
              <w:left w:w="70" w:type="dxa"/>
              <w:bottom w:w="70" w:type="dxa"/>
              <w:right w:w="70" w:type="dxa"/>
            </w:tcMar>
            <w:vAlign w:val="center"/>
          </w:tcPr>
          <w:p w14:paraId="2110E1D0" w14:textId="77777777" w:rsidR="00321CC5" w:rsidRDefault="00000000">
            <w:pPr>
              <w:spacing w:after="0"/>
            </w:pPr>
            <w:r>
              <w:rPr>
                <w:rFonts w:eastAsia="Times New Roman"/>
                <w:sz w:val="18"/>
              </w:rPr>
              <w:t>RM villi structural/</w:t>
            </w:r>
            <w:r>
              <w:rPr>
                <w:sz w:val="18"/>
              </w:rPr>
              <w:br/>
            </w:r>
            <w:r>
              <w:rPr>
                <w:rFonts w:eastAsia="Times New Roman"/>
                <w:sz w:val="18"/>
              </w:rPr>
              <w:t>trophoblast</w:t>
            </w:r>
          </w:p>
        </w:tc>
        <w:tc>
          <w:tcPr>
            <w:tcW w:w="1180" w:type="dxa"/>
            <w:tcMar>
              <w:top w:w="70" w:type="dxa"/>
              <w:left w:w="70" w:type="dxa"/>
              <w:bottom w:w="70" w:type="dxa"/>
              <w:right w:w="70" w:type="dxa"/>
            </w:tcMar>
            <w:vAlign w:val="center"/>
          </w:tcPr>
          <w:p w14:paraId="1FB39D8A" w14:textId="77777777" w:rsidR="00321CC5" w:rsidRDefault="00000000">
            <w:pPr>
              <w:spacing w:after="0" w:line="240" w:lineRule="auto"/>
              <w:jc w:val="center"/>
            </w:pPr>
            <w:r>
              <w:rPr>
                <w:rFonts w:eastAsia="Times New Roman"/>
                <w:sz w:val="18"/>
              </w:rPr>
              <w:t>-0.097</w:t>
            </w:r>
          </w:p>
        </w:tc>
        <w:tc>
          <w:tcPr>
            <w:tcW w:w="1180" w:type="dxa"/>
            <w:tcMar>
              <w:top w:w="70" w:type="dxa"/>
              <w:left w:w="70" w:type="dxa"/>
              <w:bottom w:w="70" w:type="dxa"/>
              <w:right w:w="70" w:type="dxa"/>
            </w:tcMar>
            <w:vAlign w:val="center"/>
          </w:tcPr>
          <w:p w14:paraId="48AF7AB8" w14:textId="77777777" w:rsidR="00321CC5" w:rsidRDefault="00000000">
            <w:pPr>
              <w:spacing w:after="0" w:line="240" w:lineRule="auto"/>
              <w:jc w:val="center"/>
            </w:pPr>
            <w:r>
              <w:rPr>
                <w:rFonts w:eastAsia="Times New Roman"/>
                <w:sz w:val="18"/>
              </w:rPr>
              <w:t>+0.245</w:t>
            </w:r>
          </w:p>
        </w:tc>
        <w:tc>
          <w:tcPr>
            <w:tcW w:w="1180" w:type="dxa"/>
            <w:tcMar>
              <w:top w:w="70" w:type="dxa"/>
              <w:left w:w="70" w:type="dxa"/>
              <w:bottom w:w="70" w:type="dxa"/>
              <w:right w:w="70" w:type="dxa"/>
            </w:tcMar>
            <w:vAlign w:val="center"/>
          </w:tcPr>
          <w:p w14:paraId="0F03B88B" w14:textId="77777777" w:rsidR="00321CC5" w:rsidRDefault="00000000">
            <w:pPr>
              <w:spacing w:after="0" w:line="240" w:lineRule="auto"/>
              <w:jc w:val="center"/>
            </w:pPr>
            <w:r>
              <w:rPr>
                <w:rFonts w:eastAsia="Times New Roman"/>
                <w:sz w:val="18"/>
              </w:rPr>
              <w:t>-0.007</w:t>
            </w:r>
          </w:p>
        </w:tc>
        <w:tc>
          <w:tcPr>
            <w:tcW w:w="1080" w:type="dxa"/>
            <w:tcMar>
              <w:top w:w="70" w:type="dxa"/>
              <w:left w:w="70" w:type="dxa"/>
              <w:bottom w:w="70" w:type="dxa"/>
              <w:right w:w="70" w:type="dxa"/>
            </w:tcMar>
            <w:vAlign w:val="center"/>
          </w:tcPr>
          <w:p w14:paraId="1CCB5BDA" w14:textId="77777777" w:rsidR="00321CC5" w:rsidRDefault="00000000">
            <w:pPr>
              <w:spacing w:after="0" w:line="240" w:lineRule="auto"/>
              <w:jc w:val="center"/>
            </w:pPr>
            <w:r>
              <w:rPr>
                <w:rFonts w:eastAsia="Times New Roman"/>
                <w:sz w:val="18"/>
              </w:rPr>
              <w:t>1/3</w:t>
            </w:r>
          </w:p>
        </w:tc>
        <w:tc>
          <w:tcPr>
            <w:tcW w:w="1080" w:type="dxa"/>
            <w:tcMar>
              <w:top w:w="70" w:type="dxa"/>
              <w:left w:w="70" w:type="dxa"/>
              <w:bottom w:w="70" w:type="dxa"/>
              <w:right w:w="70" w:type="dxa"/>
            </w:tcMar>
            <w:vAlign w:val="center"/>
          </w:tcPr>
          <w:p w14:paraId="408F8C3E" w14:textId="77777777" w:rsidR="00321CC5" w:rsidRDefault="00000000">
            <w:pPr>
              <w:spacing w:after="0" w:line="240" w:lineRule="auto"/>
              <w:jc w:val="center"/>
            </w:pPr>
            <w:r>
              <w:rPr>
                <w:rFonts w:eastAsia="Times New Roman"/>
                <w:sz w:val="18"/>
              </w:rPr>
              <w:t>96.7%</w:t>
            </w:r>
          </w:p>
        </w:tc>
        <w:tc>
          <w:tcPr>
            <w:tcW w:w="2145" w:type="dxa"/>
            <w:tcMar>
              <w:top w:w="70" w:type="dxa"/>
              <w:left w:w="70" w:type="dxa"/>
              <w:bottom w:w="70" w:type="dxa"/>
              <w:right w:w="70" w:type="dxa"/>
            </w:tcMar>
            <w:vAlign w:val="center"/>
          </w:tcPr>
          <w:p w14:paraId="5E03FC64" w14:textId="77777777" w:rsidR="00321CC5" w:rsidRDefault="00000000">
            <w:pPr>
              <w:spacing w:after="0" w:line="240" w:lineRule="auto"/>
            </w:pPr>
            <w:r>
              <w:rPr>
                <w:sz w:val="18"/>
              </w:rPr>
              <w:t>Mixed/weak; not recurrent in decidua cohorts</w:t>
            </w:r>
          </w:p>
        </w:tc>
      </w:tr>
    </w:tbl>
    <w:p w14:paraId="5D0C92B0" w14:textId="77777777" w:rsidR="00321CC5" w:rsidRDefault="00321CC5"/>
    <w:sectPr w:rsidR="00321CC5" w:rsidSect="00F91511">
      <w:footerReference w:type="default" r:id="rId8"/>
      <w:pgSz w:w="12240" w:h="15840"/>
      <w:pgMar w:top="1152" w:right="1152" w:bottom="1152"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8C05" w14:textId="77777777" w:rsidR="007E40F0" w:rsidRDefault="007E40F0">
      <w:pPr>
        <w:spacing w:after="0" w:line="240" w:lineRule="auto"/>
      </w:pPr>
      <w:r>
        <w:separator/>
      </w:r>
    </w:p>
  </w:endnote>
  <w:endnote w:type="continuationSeparator" w:id="0">
    <w:p w14:paraId="0BC6C63B" w14:textId="77777777" w:rsidR="007E40F0" w:rsidRDefault="007E4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E7F4" w14:textId="77777777" w:rsidR="00321CC5" w:rsidRDefault="00000000">
    <w:pPr>
      <w:pStyle w:val="Footer"/>
      <w:jc w:val="center"/>
    </w:pPr>
    <w:r>
      <w:fldChar w:fldCharType="begin"/>
    </w:r>
    <w:r>
      <w:instrText>PAGE</w:instrText>
    </w:r>
    <w:r w:rsidR="00F91511">
      <w:fldChar w:fldCharType="separate"/>
    </w:r>
    <w:r w:rsidR="00F915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C4667" w14:textId="77777777" w:rsidR="007E40F0" w:rsidRDefault="007E40F0">
      <w:pPr>
        <w:spacing w:after="0" w:line="240" w:lineRule="auto"/>
      </w:pPr>
      <w:r>
        <w:separator/>
      </w:r>
    </w:p>
  </w:footnote>
  <w:footnote w:type="continuationSeparator" w:id="0">
    <w:p w14:paraId="6680370F" w14:textId="77777777" w:rsidR="007E40F0" w:rsidRDefault="007E4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756914">
    <w:abstractNumId w:val="8"/>
  </w:num>
  <w:num w:numId="2" w16cid:durableId="1506436910">
    <w:abstractNumId w:val="6"/>
  </w:num>
  <w:num w:numId="3" w16cid:durableId="150414713">
    <w:abstractNumId w:val="5"/>
  </w:num>
  <w:num w:numId="4" w16cid:durableId="1436175645">
    <w:abstractNumId w:val="4"/>
  </w:num>
  <w:num w:numId="5" w16cid:durableId="961495406">
    <w:abstractNumId w:val="7"/>
  </w:num>
  <w:num w:numId="6" w16cid:durableId="1968513020">
    <w:abstractNumId w:val="3"/>
  </w:num>
  <w:num w:numId="7" w16cid:durableId="1136534244">
    <w:abstractNumId w:val="2"/>
  </w:num>
  <w:num w:numId="8" w16cid:durableId="1520778022">
    <w:abstractNumId w:val="1"/>
  </w:num>
  <w:num w:numId="9" w16cid:durableId="168423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CC5"/>
    <w:rsid w:val="00326F90"/>
    <w:rsid w:val="007E40F0"/>
    <w:rsid w:val="00AA1D8D"/>
    <w:rsid w:val="00B47730"/>
    <w:rsid w:val="00C92AA1"/>
    <w:rsid w:val="00CB0664"/>
    <w:rsid w:val="00F91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829DB"/>
  <w14:defaultImageDpi w14:val="300"/>
  <w15:docId w15:val="{29923D4C-192D-4D49-A29C-FF400FC0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F91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5669</Words>
  <Characters>32319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transcriptomics reveals a recurrent decidual inflammatory macrophage/APC signature in recurrent pregnancy loss</dc:title>
  <dc:subject/>
  <dc:creator>python-docx</dc:creator>
  <cp:keywords/>
  <dc:description>generated by python-docx</dc:description>
  <cp:lastModifiedBy>Reuben Maghembe</cp:lastModifiedBy>
  <cp:revision>2</cp:revision>
  <dcterms:created xsi:type="dcterms:W3CDTF">2013-12-23T23:15:00Z</dcterms:created>
  <dcterms:modified xsi:type="dcterms:W3CDTF">2026-09-24T20:16:00Z</dcterms:modified>
  <cp:category/>
</cp:coreProperties>
</file>