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Single-cell-informed transcriptomic transportability of decidual inflammatory macrophage/APC programmes in recurrent pregnancy loss</w:t>
      </w:r>
    </w:p>
    <w:p>
      <w:pPr>
        <w:jc w:val="center"/>
      </w:pPr>
      <w:r>
        <w:rPr>
          <w:rFonts w:ascii="Times New Roman" w:hAnsi="Times New Roman"/>
          <w:b w:val="0"/>
          <w:i w:val="0"/>
          <w:sz w:val="22"/>
        </w:rPr>
        <w:t>Short title: Decidual macrophage/APC programme transportability in recurrent pregnancy loss</w:t>
      </w:r>
    </w:p>
    <w:p>
      <w:pPr>
        <w:jc w:val="center"/>
      </w:pPr>
      <w:r>
        <w:rPr>
          <w:rFonts w:ascii="Times New Roman" w:hAnsi="Times New Roman"/>
          <w:b w:val="0"/>
          <w:i w:val="0"/>
          <w:sz w:val="22"/>
        </w:rPr>
        <w:t>Article type: Research Article</w:t>
      </w:r>
    </w:p>
    <w:p>
      <w:pPr>
        <w:jc w:val="center"/>
      </w:pPr>
      <w:r>
        <w:rPr>
          <w:rFonts w:ascii="Times New Roman" w:hAnsi="Times New Roman"/>
          <w:b w:val="0"/>
          <w:i w:val="0"/>
          <w:sz w:val="22"/>
        </w:rPr>
        <w:t>Reuben S. Maghembe1,2*</w:t>
      </w:r>
    </w:p>
    <w:p>
      <w:pPr>
        <w:jc w:val="center"/>
      </w:pPr>
      <w:r>
        <w:rPr>
          <w:rFonts w:ascii="Times New Roman" w:hAnsi="Times New Roman"/>
          <w:b w:val="0"/>
          <w:i w:val="0"/>
          <w:sz w:val="22"/>
        </w:rPr>
        <w:t>1Department of Microbiology and Parasitology, Faculty of Medicine, St. Francis University College of Health and Allied Sciences, Ifakara, Tanzania</w:t>
      </w:r>
    </w:p>
    <w:p>
      <w:pPr>
        <w:jc w:val="center"/>
      </w:pPr>
      <w:r>
        <w:rPr>
          <w:rFonts w:ascii="Times New Roman" w:hAnsi="Times New Roman"/>
          <w:b w:val="0"/>
          <w:i w:val="0"/>
          <w:sz w:val="22"/>
        </w:rPr>
        <w:t>2Department of Omics and Computational Biology, AfroBiomics Co. Ltd., Bridge Street, Samora Tower, Kivukoni, Dar es Salaam, Tanzania</w:t>
      </w:r>
    </w:p>
    <w:p>
      <w:pPr>
        <w:jc w:val="center"/>
      </w:pPr>
      <w:r>
        <w:rPr>
          <w:rFonts w:ascii="Times New Roman" w:hAnsi="Times New Roman"/>
          <w:b w:val="0"/>
          <w:i w:val="0"/>
          <w:sz w:val="22"/>
        </w:rPr>
        <w:t>*Corresponding author: Reuben S. Maghembe</w:t>
      </w:r>
    </w:p>
    <w:p>
      <w:pPr>
        <w:jc w:val="center"/>
      </w:pPr>
      <w:r>
        <w:rPr>
          <w:rFonts w:ascii="Times New Roman" w:hAnsi="Times New Roman"/>
          <w:b w:val="0"/>
          <w:i w:val="0"/>
          <w:sz w:val="22"/>
        </w:rPr>
        <w:t>Email: rmaghembe@gmail.com; rmaghembe@sfuchas.ac.tz</w:t>
      </w:r>
    </w:p>
    <w:p>
      <w:pPr>
        <w:pStyle w:val="Heading1"/>
      </w:pPr>
      <w:r>
        <w:t>Abstract</w:t>
      </w:r>
    </w:p>
    <w:p>
      <w:pPr>
        <w:jc w:val="left"/>
      </w:pPr>
      <w:r>
        <w:rPr>
          <w:rFonts w:ascii="Times New Roman" w:hAnsi="Times New Roman"/>
          <w:sz w:val="22"/>
        </w:rPr>
        <w:t>Recurrent pregnancy loss is a clinically heterogeneous reproductive disorder in which a substantial fraction of cases remain unexplained after evaluation for chromosomal, anatomical, endocrine, thrombotic and other recognized contributors. At the maternal-fetal interface, successful early pregnancy requires coordinated decidualization, trophoblast invasion, vascular adaptation and immune tolerance. Bulk transcriptomic studies of recurrent pregnancy loss have reported immune and inflammatory signals, but interpretation is limited by small cohorts, tissue-composition differences and dataset-specific differential gene lists. Single-cell transcriptomic references now provide an opportunity to define interpretable decidual tissue-state programmes and test whether these programmes recur across independent bulk datasets. To determine whether recurrent-miscarriage-associated decidual tissue-state programmes derived from a single-cell/pseudobulk reference are transportable into independent bulk transcriptomic cohorts of recurrent pregnancy loss or recurrent spontaneous abortion, we used GSE214607 as a disease single-cell/pseudobulk reference containing first-trimester decidua and villi samples from control and recurrent-miscarriage groups. Pseudobulk contrasts were used to derive recurrent-miscarriage-associated and tissue-associated candidate programmes, which were filtered for interpretability and converted into compact projection-ready gene sets. Four GSE214607-derived programmes were projected into three independent bulk decidua cohorts: GSE161969 [7,8], GSE113790 [10] and GSE178535 [12]. Within each bulk cohort, programme scores were calculated from standardized expression of matched signature genes, and transportability was assessed using signature gene coverage, case-minus-control programme-score shifts and directional concordance across cohorts [4–6]. Four projection-ready GSE214607-derived programmes were evaluated across the three external bulk cohorts. The strongest and most reproducible signal was a recurrent-miscarriage decidual inflammatory macrophage/APC programme. This programme had complete gene coverage in all three bulk cohorts and showed positive case-associated shifts in GSE161969, GSE113790 and GSE178535. Dataset-level case-minus-control deltas were +1.019, +0.282 and +0.941, respectively, giving a mean delta of +0.747 and positive directional recurrence in 3/3 cohorts. Secondary programmes, including decidua immune-stromal identity, villi trophoblast/epithelial identity and recurrent-miscarriage villi structural/trophoblast signatures, showed weaker, neutral or context-dependent transportability. A single-cell-derived recurrent-miscarriage decidual inflammatory macrophage/APC programme therefore shows concordant directional recurrence across three independent bulk decidua transcriptomic cohorts. These findings support programme-level transportability of an inflammatory decidual macrophage/APC tissue-state axis in recurrent pregnancy loss. The result should be interpreted as exploratory and observational, not as causal proof, diagnostic validation or standalone biomarker discovery.</w:t>
      </w:r>
    </w:p>
    <w:p>
      <w:pPr>
        <w:pStyle w:val="Heading2"/>
      </w:pPr>
      <w:r>
        <w:t>Introduction</w:t>
      </w:r>
    </w:p>
    <w:p>
      <w:pPr>
        <w:jc w:val="left"/>
      </w:pPr>
      <w:r>
        <w:rPr>
          <w:rFonts w:ascii="Times New Roman" w:hAnsi="Times New Roman"/>
          <w:sz w:val="22"/>
        </w:rPr>
        <w:t>Recurrent pregnancy loss is a major reproductive health problem with substantial clinical and emotional consequences. Although definitions vary across clinical guidelines and study settings, the condition is generally understood as repeated pregnancy loss occurring before fetal viability. Its causes are heterogeneous and may include parental or fetal chromosomal abnormalities, uterine anatomical factors, endocrine disorders, antiphospholipid syndrome and other maternal or embryonic contributors. Yet many patients remain without a definitive explanation after standard evaluation. This unresolved fraction has motivated increasing interest in the molecular biology of the early maternal-fetal interface, where immune, stromal, vascular and trophoblast compartments must coordinate to support implantation and early placental development.</w:t>
      </w:r>
    </w:p>
    <w:p>
      <w:pPr>
        <w:jc w:val="left"/>
      </w:pPr>
      <w:r>
        <w:rPr>
          <w:rFonts w:ascii="Times New Roman" w:hAnsi="Times New Roman"/>
          <w:sz w:val="22"/>
        </w:rPr>
        <w:t>The decidua is not a passive maternal tissue. It is an actively remodelled mucosal interface that integrates hormonal decidualization, stromal differentiation, vascular adaptation, trophoblast interaction and immune regulation. Decidual natural killer cells, macrophages, T cells, stromal cells, endothelial cells and invading trophoblasts participate in a dynamic tissue ecosystem. In successful early pregnancy, inflammatory competence must coexist with tolerance, tissue repair, angiogenesis and controlled trophoblast invasion. Disruption of this balance has long been proposed as one route to pregnancy failure, but the molecular interpretation of patient tissue data remains challenging because pregnancy-loss specimens vary in gestational age, fetal karyotype, tissue composition, sampling procedure and clinical subtype.</w:t>
      </w:r>
    </w:p>
    <w:p>
      <w:pPr>
        <w:jc w:val="left"/>
      </w:pPr>
      <w:r>
        <w:rPr>
          <w:rFonts w:ascii="Times New Roman" w:hAnsi="Times New Roman"/>
          <w:sz w:val="22"/>
        </w:rPr>
        <w:t>Transcriptomic studies have provided important evidence that recurrent pregnancy loss and recurrent spontaneous abortion can be associated with altered immune and inflammatory gene expression. However, many studies have been limited by small sample sizes and have reported dataset-specific lists of differentially expressed genes. Such lists may capture real biology, but they are difficult to compare directly across cohorts because bulk transcriptomes mix changes in cell abundance, cell state, tissue sampling and platform-specific measurement. As a result, it remains difficult to distinguish robust recurrent tissue-state programmes from cohort-specific or composition-driven signals.</w:t>
      </w:r>
    </w:p>
    <w:p>
      <w:pPr>
        <w:jc w:val="left"/>
      </w:pPr>
      <w:r>
        <w:rPr>
          <w:rFonts w:ascii="Times New Roman" w:hAnsi="Times New Roman"/>
          <w:sz w:val="22"/>
        </w:rPr>
        <w:t>Single-cell and single-nucleus transcriptomic atlases of the maternal-fetal interface offer a way to address this interpretive problem. Rather than treating bulk differential expression as isolated gene-level evidence, single-cell-informed analysis can define biologically interpretable programmes linked to decidual immune, stromal, endothelial or trophoblast compartments. These programmes can then be projected into independent bulk datasets to test whether a tissue-state axis is detectable beyond its discovery cohort. This transportability framing asks a more conservative and reproducible question than biomarker discovery: does an interpretable disease-associated programme recur directionally across independent datasets?</w:t>
      </w:r>
    </w:p>
    <w:p>
      <w:pPr>
        <w:jc w:val="left"/>
      </w:pPr>
      <w:r>
        <w:rPr>
          <w:rFonts w:ascii="Times New Roman" w:hAnsi="Times New Roman"/>
          <w:sz w:val="22"/>
        </w:rPr>
        <w:t>In this study, we developed a single-cell-informed transcriptomic transportability analysis for recurrent pregnancy loss. We used GSE214607 as a disease single-cell/pseudobulk reference containing first-trimester decidua and villi from control and recurrent-miscarriage samples. From this reference, we derived compact projection-ready tissue-state signatures after interpretability filtering. We then projected these signatures into three independent bulk decidua cohorts: GSE161969, GSE113790 and GSE178535. We focused on gene coverage, direction of case-associated shift and cross-cohort concordance rather than on standalone statistical significance, recognizing that the external cohorts are small.</w:t>
      </w:r>
    </w:p>
    <w:p>
      <w:pPr>
        <w:jc w:val="left"/>
      </w:pPr>
      <w:r>
        <w:rPr>
          <w:rFonts w:ascii="Times New Roman" w:hAnsi="Times New Roman"/>
          <w:sz w:val="22"/>
        </w:rPr>
        <w:t>Our central hypothesis was that recurrent-miscarriage-associated decidual inflammatory immune programmes would show stronger cross-cohort transportability than tissue-context-specific villi or structural programmes when projected into bulk decidua. Consistent with this hypothesis, we identified a recurrent-miscarriage decidual inflammatory macrophage/APC programme that showed complete gene coverage and positive directional recurrence across all three external cohorts. This finding nominates a decidual macrophage/APC inflammatory tissue-state axis for further investigation while maintaining clear evidence boundaries: the analysis is computational, observational and exploratory, and it does not establish causality or diagnostic performance.</w:t>
      </w:r>
    </w:p>
    <w:p>
      <w:pPr>
        <w:pStyle w:val="Heading1"/>
      </w:pPr>
      <w:r>
        <w:t>Materials and Methods</w:t>
      </w:r>
    </w:p>
    <w:p>
      <w:pPr>
        <w:pStyle w:val="Heading2"/>
      </w:pPr>
      <w:r>
        <w:t>Study design and analytical framework</w:t>
      </w:r>
    </w:p>
    <w:p>
      <w:pPr>
        <w:jc w:val="left"/>
      </w:pPr>
      <w:r>
        <w:rPr>
          <w:rFonts w:ascii="Times New Roman" w:hAnsi="Times New Roman"/>
          <w:sz w:val="22"/>
        </w:rPr>
        <w:t>This study was designed as a retrospective computational reanalysis of public transcriptomic datasets from the early maternal-fetal interface. The central analytical objective was not to discover a new diagnostic gene classifier, but to test whether biologically interpretable, single-cell-derived recurrent-miscarriage tissue-state programmes could be detected directionally across independent bulk decidua transcriptomic cohorts.</w:t>
      </w:r>
    </w:p>
    <w:p>
      <w:pPr>
        <w:jc w:val="left"/>
      </w:pPr>
      <w:r>
        <w:rPr>
          <w:rFonts w:ascii="Times New Roman" w:hAnsi="Times New Roman"/>
          <w:sz w:val="22"/>
        </w:rPr>
        <w:t>The workflow had four major stages. First, a disease single-cell reference dataset was processed and summarized at the pseudobulk sample level. Second, recurrent-miscarriage-associated and tissue-associated candidate programmes were derived from pseudobulk contrasts and filtered to generate compact projection-ready gene sets. Third, these signatures were projected into independent bulk decidua cohorts after within-cohort expression harmonization. Fourth, transportability was evaluated using signature gene coverage, direction of case-minus-control programme-score shift and cross-cohort concordance.</w:t>
      </w:r>
    </w:p>
    <w:p>
      <w:pPr>
        <w:jc w:val="left"/>
      </w:pPr>
      <w:r>
        <w:rPr>
          <w:rFonts w:ascii="Times New Roman" w:hAnsi="Times New Roman"/>
          <w:sz w:val="22"/>
        </w:rPr>
        <w:t>Because all datasets were public and de-identified, the analysis was conducted as a secondary computational study. The study was observational and exploratory; no causal inference, diagnostic performance claim or clinical biomarker validation was attempted.</w:t>
      </w:r>
    </w:p>
    <w:p>
      <w:pPr>
        <w:pStyle w:val="Heading2"/>
      </w:pPr>
      <w:r>
        <w:t>Single-cell disease reference dataset</w:t>
      </w:r>
    </w:p>
    <w:p>
      <w:pPr>
        <w:jc w:val="left"/>
      </w:pPr>
      <w:r>
        <w:rPr>
          <w:rFonts w:ascii="Times New Roman" w:hAnsi="Times New Roman"/>
          <w:sz w:val="22"/>
        </w:rPr>
        <w:t>GSE214607 was used as the primary disease single-cell reference. This dataset contains first-trimester decidua and villi samples from control and recurrent-miscarriage groups. Raw 10x Genomics matrix files were obtained from the GEO supplementary archive and imported as sparse count matrices. Sample identifiers were parsed to assign tissue group and disease status, distinguishing control decidua, control villi, recurrent-miscarriage decidua and recurrent-miscarriage villi samples.</w:t>
      </w:r>
    </w:p>
    <w:p>
      <w:pPr>
        <w:jc w:val="left"/>
      </w:pPr>
      <w:r>
        <w:rPr>
          <w:rFonts w:ascii="Times New Roman" w:hAnsi="Times New Roman"/>
          <w:sz w:val="22"/>
        </w:rPr>
        <w:t>For each sample, matrix, barcode and feature files were checked for presence and dimensional consistency before import. Gene identifiers and gene symbols were retained in the gene metadata. Per-cell quality-control metrics included total counts and number of detected genes. Cells passing the predefined minimum feature threshold were retained for pseudobulk summarization.</w:t>
      </w:r>
    </w:p>
    <w:p>
      <w:pPr>
        <w:pStyle w:val="Heading2"/>
      </w:pPr>
      <w:r>
        <w:t>Pseudobulk construction from GSE214607</w:t>
      </w:r>
    </w:p>
    <w:p>
      <w:pPr>
        <w:jc w:val="left"/>
      </w:pPr>
      <w:r>
        <w:rPr>
          <w:rFonts w:ascii="Times New Roman" w:hAnsi="Times New Roman"/>
          <w:sz w:val="22"/>
        </w:rPr>
        <w:t>To obtain sample-level expression profiles suitable for disease and tissue contrasts, single-cell counts from GSE214607 were aggregated into pseudobulk profiles by sample. Raw counts were summed across retained cells within each sample. Library-size-normalized log2 counts per million were then calculated for each pseudobulk sample. This produced a sample-level matrix representing control decidua, recurrent-miscarriage decidua, control villi and recurrent-miscarriage villi.</w:t>
      </w:r>
    </w:p>
    <w:p>
      <w:pPr>
        <w:jc w:val="left"/>
      </w:pPr>
      <w:r>
        <w:rPr>
          <w:rFonts w:ascii="Times New Roman" w:hAnsi="Times New Roman"/>
          <w:sz w:val="22"/>
        </w:rPr>
        <w:t>Pseudobulk summarization was used to reduce single-cell sparsity and to avoid treating individual cells as independent biological replicates. The resulting pseudobulk profiles were used only for programme derivation and not for formal differential expression claims.</w:t>
      </w:r>
    </w:p>
    <w:p>
      <w:pPr>
        <w:pStyle w:val="Heading2"/>
      </w:pPr>
      <w:r>
        <w:t>Candidate programme derivation</w:t>
      </w:r>
    </w:p>
    <w:p>
      <w:pPr>
        <w:jc w:val="left"/>
      </w:pPr>
      <w:r>
        <w:rPr>
          <w:rFonts w:ascii="Times New Roman" w:hAnsi="Times New Roman"/>
          <w:sz w:val="22"/>
        </w:rPr>
        <w:t>Candidate programme genes were derived from pseudobulk contrasts designed to separate recurrent-miscarriage-associated signals from tissue-associated signals. The main contrasts included recurrent-miscarriage decidua versus control decidua, recurrent-miscarriage villi versus control villi and decidua versus villi across available samples.</w:t>
      </w:r>
    </w:p>
    <w:p>
      <w:pPr>
        <w:jc w:val="left"/>
      </w:pPr>
      <w:r>
        <w:rPr>
          <w:rFonts w:ascii="Times New Roman" w:hAnsi="Times New Roman"/>
          <w:sz w:val="22"/>
        </w:rPr>
        <w:t>For each contrast, genes were ranked by direction and magnitude of group-associated expression shift. Candidate upregulated and downregulated gene sets were generated from the highest-ranking genes in each contrast. These initial candidate lists were treated as exploratory and were not interpreted as standalone differential expression results.</w:t>
      </w:r>
    </w:p>
    <w:p>
      <w:pPr>
        <w:pStyle w:val="Heading2"/>
      </w:pPr>
      <w:r>
        <w:t>Interpretability filtering and projection-ready signature construction</w:t>
      </w:r>
    </w:p>
    <w:p>
      <w:pPr>
        <w:jc w:val="left"/>
      </w:pPr>
      <w:r>
        <w:rPr>
          <w:rFonts w:ascii="Times New Roman" w:hAnsi="Times New Roman"/>
          <w:sz w:val="22"/>
        </w:rPr>
        <w:t>Candidate gene lists were filtered to improve interpretability before projection into bulk cohorts. Low-interpretability noncoding, housekeeping, ribosomal, mitochondrial and technical features were excluded unless they had explicit biological relevance to a maternal-fetal-interface programme. Marker genes from a curated maternal-fetal-interface marker panel were preserved where appropriate to retain interpretability of decidual immune, stromal, vascular and trophoblast compartments.</w:t>
      </w:r>
    </w:p>
    <w:p>
      <w:pPr>
        <w:jc w:val="left"/>
      </w:pPr>
      <w:r>
        <w:rPr>
          <w:rFonts w:ascii="Times New Roman" w:hAnsi="Times New Roman"/>
          <w:sz w:val="22"/>
        </w:rPr>
        <w:t>After filtering, compact projection-ready signatures were created. Four GSE214607-derived programmes were retained for external bulk projection:</w:t>
      </w:r>
    </w:p>
    <w:p>
      <w:pPr>
        <w:jc w:val="left"/>
      </w:pPr>
      <w:r>
        <w:rPr>
          <w:rFonts w:ascii="Times New Roman" w:hAnsi="Times New Roman"/>
          <w:sz w:val="22"/>
        </w:rPr>
        <w:t>1. recurrent-miscarriage decidual inflammatory macrophage/APC up programme;</w:t>
      </w:r>
    </w:p>
    <w:p>
      <w:pPr>
        <w:jc w:val="left"/>
      </w:pPr>
      <w:r>
        <w:rPr>
          <w:rFonts w:ascii="Times New Roman" w:hAnsi="Times New Roman"/>
          <w:sz w:val="22"/>
        </w:rPr>
        <w:t>2. decidua immune-stromal identity programme;</w:t>
      </w:r>
    </w:p>
    <w:p>
      <w:pPr>
        <w:jc w:val="left"/>
      </w:pPr>
      <w:r>
        <w:rPr>
          <w:rFonts w:ascii="Times New Roman" w:hAnsi="Times New Roman"/>
          <w:sz w:val="22"/>
        </w:rPr>
        <w:t>3. villi trophoblast/epithelial identity programme;</w:t>
      </w:r>
    </w:p>
    <w:p>
      <w:pPr>
        <w:jc w:val="left"/>
      </w:pPr>
      <w:r>
        <w:rPr>
          <w:rFonts w:ascii="Times New Roman" w:hAnsi="Times New Roman"/>
          <w:sz w:val="22"/>
        </w:rPr>
        <w:t>4. recurrent-miscarriage villi structural/trophoblast programme.</w:t>
      </w:r>
    </w:p>
    <w:p>
      <w:pPr>
        <w:jc w:val="left"/>
      </w:pPr>
      <w:r>
        <w:rPr>
          <w:rFonts w:ascii="Times New Roman" w:hAnsi="Times New Roman"/>
          <w:sz w:val="22"/>
        </w:rPr>
        <w:t>The recurrent-miscarriage decidual inflammatory macrophage/APC programme was selected as the primary biological programme of interest because it was disease-associated in the decidual contrast, biologically coherent and highly interpretable. The other three signatures were retained as secondary or tissue-context comparison programmes.</w:t>
      </w:r>
    </w:p>
    <w:p>
      <w:pPr>
        <w:pStyle w:val="Heading2"/>
      </w:pPr>
      <w:r>
        <w:t>External bulk decidua cohorts</w:t>
      </w:r>
    </w:p>
    <w:p>
      <w:pPr>
        <w:jc w:val="left"/>
      </w:pPr>
      <w:r>
        <w:rPr>
          <w:rFonts w:ascii="Times New Roman" w:hAnsi="Times New Roman"/>
          <w:sz w:val="22"/>
        </w:rPr>
        <w:t>Three independent bulk transcriptomic cohorts were used for transportability testing: GSE161969, GSE113790 and GSE178535. These datasets were selected because they contained decidual or decidua-enriched transcriptomic profiles from control and recurrent pregnancy loss or recurrent spontaneous abortion groups, and because public processed expression matrices were available.</w:t>
      </w:r>
    </w:p>
    <w:p>
      <w:pPr>
        <w:jc w:val="left"/>
      </w:pPr>
      <w:r>
        <w:rPr>
          <w:rFonts w:ascii="Times New Roman" w:hAnsi="Times New Roman"/>
          <w:sz w:val="22"/>
        </w:rPr>
        <w:t>For each bulk cohort, supplementary expression files were downloaded or audited from GEO, imported into R and harmonized to gene-symbol-level expression matrices. Sample metadata were manually curated from public sample identifiers, file headers and cohort-specific naming conventions. Diagnostic labels were harmonized into control and case categories, while preserving the original dataset-specific terminology where available.</w:t>
      </w:r>
    </w:p>
    <w:p>
      <w:pPr>
        <w:jc w:val="left"/>
      </w:pPr>
      <w:r>
        <w:rPr>
          <w:rFonts w:ascii="Times New Roman" w:hAnsi="Times New Roman"/>
          <w:sz w:val="22"/>
        </w:rPr>
        <w:t>For GSE161969, the available processed matrix contained FPKM values, which were transformed as log2(FPKM + 1) after gene-symbol harmonization. For GSE113790, the processed FPKM matrix was imported, gene symbols were retained and duplicated gene symbols were collapsed where necessary. For GSE178535, the public processed normalized log2 expression matrix was used without additional log transformation. All downstream scoring was performed within each dataset to avoid assuming direct comparability of expression scales across platforms or preprocessing pipelines.</w:t>
      </w:r>
    </w:p>
    <w:p>
      <w:pPr>
        <w:pStyle w:val="Heading2"/>
      </w:pPr>
      <w:r>
        <w:t>Signature projection into bulk cohorts</w:t>
      </w:r>
    </w:p>
    <w:p>
      <w:pPr>
        <w:jc w:val="left"/>
      </w:pPr>
      <w:r>
        <w:rPr>
          <w:rFonts w:ascii="Times New Roman" w:hAnsi="Times New Roman"/>
          <w:sz w:val="22"/>
        </w:rPr>
        <w:t>For each external bulk cohort, each projection-ready signature was intersected with the cohort gene-symbol expression matrix. Signature coverage was calculated as the number and percentage of genes present in the bulk dataset. Programme scoring was restricted to genes present in each cohort.</w:t>
      </w:r>
    </w:p>
    <w:p>
      <w:pPr>
        <w:jc w:val="left"/>
      </w:pPr>
      <w:r>
        <w:rPr>
          <w:rFonts w:ascii="Times New Roman" w:hAnsi="Times New Roman"/>
          <w:sz w:val="22"/>
        </w:rPr>
        <w:t>Within each cohort, expression values for each gene were standardized across samples. Programme scores were then calculated for each sample as the mean standardized expression of the present genes in the signature. This within-cohort z-score-based scoring approach allowed directionally comparable programme scores while minimizing dependence on absolute expression scale across datasets.</w:t>
      </w:r>
    </w:p>
    <w:p>
      <w:pPr>
        <w:pStyle w:val="Heading2"/>
      </w:pPr>
      <w:r>
        <w:t>Transportability assessment</w:t>
      </w:r>
    </w:p>
    <w:p>
      <w:pPr>
        <w:jc w:val="left"/>
      </w:pPr>
      <w:r>
        <w:rPr>
          <w:rFonts w:ascii="Times New Roman" w:hAnsi="Times New Roman"/>
          <w:sz w:val="22"/>
        </w:rPr>
        <w:t>Transportability was evaluated using three main criteria: technical coverage, within-cohort direction of case-associated programme shift and cross-cohort concordance. Technical coverage was considered strong when most or all signature genes were detected in the bulk dataset. For each signature and cohort, mean programme scores were calculated for control and case groups, and case-minus-control deltas were computed.</w:t>
      </w:r>
    </w:p>
    <w:p>
      <w:pPr>
        <w:jc w:val="left"/>
      </w:pPr>
      <w:r>
        <w:rPr>
          <w:rFonts w:ascii="Times New Roman" w:hAnsi="Times New Roman"/>
          <w:sz w:val="22"/>
        </w:rPr>
        <w:t>The primary transportability criterion was directional recurrence across independent cohorts. A programme was considered to show concordant positive directional recurrence if the case-minus-control delta was positive in all three external bulk cohorts. Wilcoxon rank-sum tests and Benjamini-Hochberg-adjusted values were calculated descriptively where applicable, but were not used as the primary evidence criterion because the external cohorts were small.</w:t>
      </w:r>
    </w:p>
    <w:p>
      <w:pPr>
        <w:pStyle w:val="Heading2"/>
      </w:pPr>
      <w:r>
        <w:t>Evidence boundaries</w:t>
      </w:r>
    </w:p>
    <w:p>
      <w:pPr>
        <w:jc w:val="left"/>
      </w:pPr>
      <w:r>
        <w:rPr>
          <w:rFonts w:ascii="Times New Roman" w:hAnsi="Times New Roman"/>
          <w:sz w:val="22"/>
        </w:rPr>
        <w:t>All programme-score comparisons were interpreted as exploratory. The study does not claim that the identified macrophage/APC programme is causal, diagnostic or specific to all forms of recurrent pregnancy loss. Bulk projection scores may reflect changes in cell abundance, cell activation state or both. Available public metadata were insufficient to fully harmonize fetal karyotype, gestational age, clinical subtype, treatment exposure, sampling procedure or tissue-composition differences across cohorts.</w:t>
      </w:r>
    </w:p>
    <w:p>
      <w:pPr>
        <w:jc w:val="left"/>
      </w:pPr>
      <w:r>
        <w:rPr>
          <w:rFonts w:ascii="Times New Roman" w:hAnsi="Times New Roman"/>
          <w:sz w:val="22"/>
        </w:rPr>
        <w:t>The primary claim is therefore limited to programme-level transportability: a single-cell-derived recurrent-miscarriage decidual inflammatory macrophage/APC programme shows concordant positive directional recurrence across three independent bulk decidua transcriptomic cohorts.</w:t>
      </w:r>
    </w:p>
    <w:p>
      <w:pPr>
        <w:pStyle w:val="Heading2"/>
      </w:pPr>
      <w:r>
        <w:t>Reproducibility and code availability</w:t>
      </w:r>
    </w:p>
    <w:p>
      <w:pPr>
        <w:jc w:val="left"/>
      </w:pPr>
      <w:r>
        <w:rPr>
          <w:rFonts w:ascii="Times New Roman" w:hAnsi="Times New Roman"/>
          <w:sz w:val="22"/>
        </w:rPr>
        <w:t>All scripts, compact projection-ready signatures, curated metadata, projection scores, signature-coverage tables, transportability summaries, figures and release documentation are available in the GitHub repository:</w:t>
      </w:r>
    </w:p>
    <w:p>
      <w:pPr>
        <w:jc w:val="left"/>
      </w:pPr>
      <w:r>
        <w:rPr>
          <w:rFonts w:ascii="Times New Roman" w:hAnsi="Times New Roman"/>
          <w:sz w:val="22"/>
        </w:rPr>
        <w:t>https://github.com/rmaghembe1/rpl-decidua-transportability</w:t>
      </w:r>
    </w:p>
    <w:p>
      <w:pPr>
        <w:jc w:val="left"/>
      </w:pPr>
      <w:r>
        <w:rPr>
          <w:rFonts w:ascii="Times New Roman" w:hAnsi="Times New Roman"/>
          <w:sz w:val="22"/>
        </w:rPr>
        <w:t>The repository includes release manifests, reproducibility notes and figure-support files documenting the three-cohort transportability analysis.</w:t>
      </w:r>
    </w:p>
    <w:p>
      <w:pPr>
        <w:pStyle w:val="Heading1"/>
      </w:pPr>
      <w:r>
        <w:t>Results</w:t>
      </w:r>
    </w:p>
    <w:p>
      <w:pPr>
        <w:pStyle w:val="Heading2"/>
      </w:pPr>
      <w:r>
        <w:t>Public dataset structure and analytical overview</w:t>
      </w:r>
    </w:p>
    <w:p>
      <w:pPr>
        <w:jc w:val="left"/>
      </w:pPr>
      <w:r>
        <w:rPr>
          <w:rFonts w:ascii="Times New Roman" w:hAnsi="Times New Roman"/>
          <w:sz w:val="22"/>
        </w:rPr>
        <w:t>We designed a single-cell-informed transcriptomic transportability workflow to test whether recurrent-miscarriage-associated decidual tissue-state programmes could be detected across independent bulk decidua transcriptomic cohorts. The analysis used GSE214607 as the primary disease single-cell reference and three external bulk decidua cohorts for projection-based validation: GSE161969, GSE113790 and GSE178535.</w:t>
      </w:r>
    </w:p>
    <w:p>
      <w:pPr>
        <w:jc w:val="left"/>
      </w:pPr>
      <w:r>
        <w:rPr>
          <w:rFonts w:ascii="Times New Roman" w:hAnsi="Times New Roman"/>
          <w:sz w:val="22"/>
        </w:rPr>
        <w:t>GSE214607 provided first-trimester single-cell data from control and recurrent-miscarriage samples, including decidua and villi compartments. This enabled derivation of disease-associated and tissue-associated programmes in a reference dataset that preserved maternal-fetal-interface tissue context. The external bulk datasets provided independent case-control transcriptomic cohorts for testing whether compact GSE214607-derived signatures showed directional recurrence outside the discovery reference.</w:t>
      </w:r>
    </w:p>
    <w:p>
      <w:pPr>
        <w:jc w:val="left"/>
      </w:pPr>
      <w:r>
        <w:rPr>
          <w:rFonts w:ascii="Times New Roman" w:hAnsi="Times New Roman"/>
          <w:sz w:val="22"/>
        </w:rPr>
        <w:t>The analytical strategy was intentionally programme-based rather than gene-classifier-based. We first derived candidate tissue-state programmes from the single-cell/pseudobulk reference, then filtered them for interpretability and compactness, and finally projected the resulting signatures into each bulk cohort. Transportability was evaluated using signature gene coverage, direction of case-minus-control programme-score shift and concordance across independent cohorts.</w:t>
      </w:r>
    </w:p>
    <w:p>
      <w:pPr>
        <w:pStyle w:val="Heading2"/>
      </w:pPr>
      <w:r>
        <w:t>GSE214607 single-cell/pseudobulk processing generated projection-ready disease and tissue programmes</w:t>
      </w:r>
    </w:p>
    <w:p>
      <w:pPr>
        <w:jc w:val="left"/>
      </w:pPr>
      <w:r>
        <w:rPr>
          <w:rFonts w:ascii="Times New Roman" w:hAnsi="Times New Roman"/>
          <w:sz w:val="22"/>
        </w:rPr>
        <w:t>Raw GSE214607 10x Genomics matrices were imported and summarized into sample-level pseudobulk profiles after quality-control filtering. The imported dataset contained control decidua, control villi, recurrent-miscarriage decidua and recurrent-miscarriage villi samples. Pseudobulk aggregation was used to avoid treating individual cells as independent biological replicates and to generate sample-level profiles suitable for programme derivation.</w:t>
      </w:r>
    </w:p>
    <w:p>
      <w:pPr>
        <w:jc w:val="left"/>
      </w:pPr>
      <w:r>
        <w:rPr>
          <w:rFonts w:ascii="Times New Roman" w:hAnsi="Times New Roman"/>
          <w:sz w:val="22"/>
        </w:rPr>
        <w:t>Pseudobulk contrasts were used to identify recurrent-miscarriage-associated and tissue-associated expression shifts. These contrasts included recurrent-miscarriage decidua versus control decidua, recurrent-miscarriage villi versus control villi and decidua versus villi. Initial candidate lists contained both interpretable tissue-state genes and low-information or technical features. Therefore, candidate signatures were filtered to remove low-interpretability noncoding, housekeeping, ribosomal, mitochondrial and technical features while retaining informative maternal-fetal-interface marker genes.</w:t>
      </w:r>
    </w:p>
    <w:p>
      <w:pPr>
        <w:jc w:val="left"/>
      </w:pPr>
      <w:r>
        <w:rPr>
          <w:rFonts w:ascii="Times New Roman" w:hAnsi="Times New Roman"/>
          <w:sz w:val="22"/>
        </w:rPr>
        <w:t>This process yielded four compact projection-ready GSE214607-derived signatures: a recurrent-miscarriage decidual inflammatory macrophage/APC programme, a decidua immune-stromal identity programme, a villi trophoblast/epithelial identity programme and a recurrent-miscarriage villi structural/trophoblast programme. These signatures were carried forward for bulk projection.</w:t>
      </w:r>
    </w:p>
    <w:p>
      <w:pPr>
        <w:pStyle w:val="Heading2"/>
      </w:pPr>
      <w:r>
        <w:t>A recurrent-miscarriage decidual inflammatory macrophage/APC programme emerged as the most coherent disease-associated signature</w:t>
      </w:r>
    </w:p>
    <w:p>
      <w:pPr>
        <w:jc w:val="left"/>
      </w:pPr>
      <w:r>
        <w:rPr>
          <w:rFonts w:ascii="Times New Roman" w:hAnsi="Times New Roman"/>
          <w:sz w:val="22"/>
        </w:rPr>
        <w:t>Among the GSE214607-derived signatures, the recurrent-miscarriage decidual inflammatory macrophage/APC programme was the most coherent disease-associated axis. The programme was derived from the recurrent-miscarriage decidua versus control decidua contrast and contained genes consistent with macrophage/APC activation, antigen presentation, inflammatory myeloid state and complement-associated macrophage identity.</w:t>
      </w:r>
    </w:p>
    <w:p>
      <w:pPr>
        <w:jc w:val="left"/>
      </w:pPr>
      <w:r>
        <w:rPr>
          <w:rFonts w:ascii="Times New Roman" w:hAnsi="Times New Roman"/>
          <w:sz w:val="22"/>
        </w:rPr>
        <w:t>The compact macrophage/APC signature included HLA class II and antigen-presentation genes, myeloid activation markers and complement-associated macrophage genes, including C1QA, C1QB and C1QC. The biological structure of this programme supported interpretation as a decidual inflammatory macrophage/APC tissue-state axis rather than an isolated list of differentially expressed genes.</w:t>
      </w:r>
    </w:p>
    <w:p>
      <w:pPr>
        <w:jc w:val="left"/>
      </w:pPr>
      <w:r>
        <w:rPr>
          <w:rFonts w:ascii="Times New Roman" w:hAnsi="Times New Roman"/>
          <w:sz w:val="22"/>
        </w:rPr>
        <w:t>Because this programme was disease-associated in the decidual contrast, biologically interpretable and technically suitable for projection, it was designated as the primary programme of interest for external bulk transportability testing. The other signatures were retained as secondary tissue-context or comparison programmes.</w:t>
      </w:r>
    </w:p>
    <w:p>
      <w:pPr>
        <w:pStyle w:val="Heading2"/>
      </w:pPr>
      <w:r>
        <w:t>The macrophage/APC programme showed complete gene coverage in all external bulk cohorts</w:t>
      </w:r>
    </w:p>
    <w:p>
      <w:pPr>
        <w:jc w:val="left"/>
      </w:pPr>
      <w:r>
        <w:rPr>
          <w:rFonts w:ascii="Times New Roman" w:hAnsi="Times New Roman"/>
          <w:sz w:val="22"/>
        </w:rPr>
        <w:t>We next projected the four GSE214607-derived signatures into three independent external bulk decidua cohorts: GSE161969, GSE113790 and GSE178535. Signature gene coverage was high across cohorts. The recurrent-miscarriage decidual inflammatory macrophage/APC programme showed complete gene coverage in all three datasets, with all 30 signature genes detected in each cohort.</w:t>
      </w:r>
    </w:p>
    <w:p>
      <w:pPr>
        <w:jc w:val="left"/>
      </w:pPr>
      <w:r>
        <w:rPr>
          <w:rFonts w:ascii="Times New Roman" w:hAnsi="Times New Roman"/>
          <w:sz w:val="22"/>
        </w:rPr>
        <w:t>This complete coverage supported robust technical projection of the primary programme across independent bulk expression matrices. Other signatures also showed high coverage, although occasional genes were absent from some datasets. The high coverage profile indicated that the main programme-level comparisons were not driven by poor gene recovery or extensive signature dropout.</w:t>
      </w:r>
    </w:p>
    <w:p>
      <w:pPr>
        <w:pStyle w:val="Heading2"/>
      </w:pPr>
      <w:r>
        <w:t>The macrophage/APC programme showed concordant positive directional recurrence across three bulk decidua cohorts</w:t>
      </w:r>
    </w:p>
    <w:p>
      <w:pPr>
        <w:jc w:val="left"/>
      </w:pPr>
      <w:r>
        <w:rPr>
          <w:rFonts w:ascii="Times New Roman" w:hAnsi="Times New Roman"/>
          <w:sz w:val="22"/>
        </w:rPr>
        <w:t>The recurrent-miscarriage decidual inflammatory macrophage/APC programme showed a positive case-associated shift in all three independent bulk cohorts. In GSE161969, the programme showed a case-minus-control delta of +1.019. In GSE113790, the delta was +0.282. In GSE178535, the delta was +0.941. Across the three cohorts, the programme was positive in 3/3 datasets, with a mean delta of +0.747 and a median delta of +0.941.</w:t>
      </w:r>
    </w:p>
    <w:p>
      <w:pPr>
        <w:jc w:val="left"/>
      </w:pPr>
      <w:r>
        <w:rPr>
          <w:rFonts w:ascii="Times New Roman" w:hAnsi="Times New Roman"/>
          <w:sz w:val="22"/>
        </w:rPr>
        <w:t>This pattern supports concordant positive directional recurrence of the GSE214607-derived macrophage/APC programme across independent recurrent pregnancy loss or recurrent spontaneous abortion bulk decidua transcriptomes. The magnitude of the shift varied across cohorts, as expected given differences in dataset size, expression processing, cohort composition and sampling context. Nevertheless, the direction of effect was consistent across all three external datasets.</w:t>
      </w:r>
    </w:p>
    <w:p>
      <w:pPr>
        <w:jc w:val="left"/>
      </w:pPr>
      <w:r>
        <w:rPr>
          <w:rFonts w:ascii="Times New Roman" w:hAnsi="Times New Roman"/>
          <w:sz w:val="22"/>
        </w:rPr>
        <w:t>Because the external cohorts were small, these results were interpreted primarily through directional concordance rather than formal statistical significance. Cohort-level Wilcoxon tests and adjusted values were treated as descriptive and exploratory. The main result is therefore not a validated diagnostic biomarker, but a reproducible programme-level signal: an inflammatory decidual macrophage/APC tissue-state axis derived from single-cell data recurs directionally in independent bulk decidua datasets.</w:t>
      </w:r>
    </w:p>
    <w:p>
      <w:pPr>
        <w:pStyle w:val="Heading2"/>
      </w:pPr>
      <w:r>
        <w:t>Secondary signatures showed weaker or context-dependent transportability</w:t>
      </w:r>
    </w:p>
    <w:p>
      <w:pPr>
        <w:jc w:val="left"/>
      </w:pPr>
      <w:r>
        <w:rPr>
          <w:rFonts w:ascii="Times New Roman" w:hAnsi="Times New Roman"/>
          <w:sz w:val="22"/>
        </w:rPr>
        <w:t>The decidua immune-stromal identity programme showed positive but weaker shifts across the three cohorts. This may reflect partial recurrence of decidual tissue-context signals in bulk decidua data, but its smaller deltas and broader biological composition make it less specific as a recurrent-miscarriage-associated disease programme.</w:t>
      </w:r>
    </w:p>
    <w:p>
      <w:pPr>
        <w:jc w:val="left"/>
      </w:pPr>
      <w:r>
        <w:rPr>
          <w:rFonts w:ascii="Times New Roman" w:hAnsi="Times New Roman"/>
          <w:sz w:val="22"/>
        </w:rPr>
        <w:t>The villi trophoblast/epithelial identity signature showed modest positive shifts in bulk decidua cohorts, whereas the recurrent-miscarriage villi structural/trophoblast programme showed mixed or weak behaviour. These findings are consistent with tissue-context dependence: signatures derived from villi or trophoblast-enriched contrasts may not be expected to transport strongly into decidua-focused bulk datasets. Their weaker behaviour strengthens the interpretation that the macrophage/APC programme is not simply a generic projection artifact across all signatures.</w:t>
      </w:r>
    </w:p>
    <w:p>
      <w:pPr>
        <w:jc w:val="left"/>
      </w:pPr>
      <w:r>
        <w:rPr>
          <w:rFonts w:ascii="Times New Roman" w:hAnsi="Times New Roman"/>
          <w:sz w:val="22"/>
        </w:rPr>
        <w:t>Overall, the secondary-signature analysis supported the specificity of the primary observation. The most coherent and consistently recurrent programme was the decidual inflammatory macrophage/APC axis, while non-primary tissue-context signatures showed weaker, neutral or mixed behaviour.</w:t>
      </w:r>
    </w:p>
    <w:p>
      <w:pPr>
        <w:pStyle w:val="Heading2"/>
      </w:pPr>
      <w:r>
        <w:t>Summary of results</w:t>
      </w:r>
    </w:p>
    <w:p>
      <w:pPr>
        <w:jc w:val="left"/>
      </w:pPr>
      <w:r>
        <w:rPr>
          <w:rFonts w:ascii="Times New Roman" w:hAnsi="Times New Roman"/>
          <w:sz w:val="22"/>
        </w:rPr>
        <w:t>Together, these analyses identified a single-cell-derived recurrent-miscarriage decidual inflammatory macrophage/APC programme with complete technical coverage and positive directional recurrence across three independent bulk decidua cohorts. The finding supports cross-dataset transportability of an interpretable decidual inflammatory myeloid tissue-state axis in recurrent pregnancy loss. However, the evidence remains exploratory and observational because the external cohorts are small and public metadata are incompletely harmonized. The result should therefore be interpreted as programme-level recurrence rather than causal proof, diagnostic validation or standalone biomarker discovery.</w:t>
      </w:r>
    </w:p>
    <w:p>
      <w:pPr>
        <w:pStyle w:val="Heading1"/>
      </w:pPr>
      <w:r>
        <w:t>Discussion</w:t>
      </w:r>
    </w:p>
    <w:p>
      <w:pPr>
        <w:pStyle w:val="Heading2"/>
      </w:pPr>
      <w:r>
        <w:t>Principal finding</w:t>
      </w:r>
    </w:p>
    <w:p>
      <w:pPr>
        <w:jc w:val="left"/>
      </w:pPr>
      <w:r>
        <w:rPr>
          <w:rFonts w:ascii="Times New Roman" w:hAnsi="Times New Roman"/>
          <w:sz w:val="22"/>
        </w:rPr>
        <w:t>This study identifies a recurrent-miscarriage decidual inflammatory macrophage/APC programme that shows concordant directional recurrence across three independent bulk decidua transcriptomic cohorts. The programme was derived from the GSE214607 single-cell/pseudobulk disease reference, converted into a compact projection-ready signature and then projected into GSE161969, GSE113790 and GSE178535. Across all three external cohorts, the programme showed complete gene coverage and a positive case-associated shift. This supports programme-level transportability of an inflammatory decidual macrophage/APC tissue-state axis in recurrent pregnancy loss and recurrent spontaneous abortion datasets.</w:t>
      </w:r>
    </w:p>
    <w:p>
      <w:pPr>
        <w:jc w:val="left"/>
      </w:pPr>
      <w:r>
        <w:rPr>
          <w:rFonts w:ascii="Times New Roman" w:hAnsi="Times New Roman"/>
          <w:sz w:val="22"/>
        </w:rPr>
        <w:t>The main contribution of this analysis is not the nomination of a single diagnostic gene or classifier. Rather, the study demonstrates that an interpretable single-cell-derived tissue-state programme can be recovered directionally across independent bulk transcriptomic datasets despite small cohort sizes, differences in expression processing and incomplete metadata harmonization. The finding therefore provides a reproducible framework for moving beyond dataset-specific gene lists toward programme-level biological convergence.</w:t>
      </w:r>
    </w:p>
    <w:p>
      <w:pPr>
        <w:pStyle w:val="Heading2"/>
      </w:pPr>
      <w:r>
        <w:t>Biological interpretation of the macrophage/APC programme</w:t>
      </w:r>
    </w:p>
    <w:p>
      <w:pPr>
        <w:jc w:val="left"/>
      </w:pPr>
      <w:r>
        <w:rPr>
          <w:rFonts w:ascii="Times New Roman" w:hAnsi="Times New Roman"/>
          <w:sz w:val="22"/>
        </w:rPr>
        <w:t>The recurrent-miscarriage decidual inflammatory macrophage/APC programme contains genes consistent with antigen presentation, inflammatory myeloid activation and complement-associated macrophage identity. Its recurrence across independent bulk decidua cohorts suggests that recurrent pregnancy loss may involve a reproducible decidual myeloid inflammatory tissue state. However, the programme should not be interpreted as proof that macrophages alone cause pregnancy loss. Bulk projection scores can reflect macrophage abundance, macrophage activation state, altered antigen-presentation activity, local inflammatory remodelling, or a combination of these factors.</w:t>
      </w:r>
    </w:p>
    <w:p>
      <w:pPr>
        <w:jc w:val="left"/>
      </w:pPr>
      <w:r>
        <w:rPr>
          <w:rFonts w:ascii="Times New Roman" w:hAnsi="Times New Roman"/>
          <w:sz w:val="22"/>
        </w:rPr>
        <w:t>At the maternal-fetal interface, macrophages participate in tissue remodelling, apoptotic-cell clearance, trophoblast interaction, vascular adaptation, host defence and immune regulation. A shift toward an inflammatory macrophage/APC programme could therefore represent several biological scenarios. It may reflect failure to maintain a tolerogenic or repair-oriented decidual myeloid state, heightened antigen-presentation or inflammatory signalling, response to tissue injury, altered complement-associated macrophage activity, or secondary inflammation after embryonic or placental compromise. These possibilities are not mutually exclusive and cannot be separated using bulk transcriptomic projection alone.</w:t>
      </w:r>
    </w:p>
    <w:p>
      <w:pPr>
        <w:jc w:val="left"/>
      </w:pPr>
      <w:r>
        <w:rPr>
          <w:rFonts w:ascii="Times New Roman" w:hAnsi="Times New Roman"/>
          <w:sz w:val="22"/>
        </w:rPr>
        <w:t>The programme's complement-associated features are also biologically plausible but require cautious interpretation. Complement-related macrophage genes may reflect inflammatory tissue remodelling, immune-complex handling, apoptotic-cell clearance or local innate immune activation. In the present analysis, complement-associated genes contribute to the macrophage/APC tissue-state signature, but the study does not establish complement activation as an independent causal mechanism.</w:t>
      </w:r>
    </w:p>
    <w:p>
      <w:pPr>
        <w:pStyle w:val="Heading2"/>
      </w:pPr>
      <w:r>
        <w:t>Value of single-cell-informed transportability analysis</w:t>
      </w:r>
    </w:p>
    <w:p>
      <w:pPr>
        <w:jc w:val="left"/>
      </w:pPr>
      <w:r>
        <w:rPr>
          <w:rFonts w:ascii="Times New Roman" w:hAnsi="Times New Roman"/>
          <w:sz w:val="22"/>
        </w:rPr>
        <w:t>A central challenge in recurrent pregnancy loss transcriptomics is that most public datasets are small and heterogeneous. Standard differential expression analysis can identify candidate genes within a cohort, but such genes may be sensitive to tissue composition, sampling conditions, gestational age, fetal karyotype, platform and preprocessing. This makes it difficult to determine whether a reported signal represents a robust disease-associated tissue state or a dataset-specific observation.</w:t>
      </w:r>
    </w:p>
    <w:p>
      <w:pPr>
        <w:jc w:val="left"/>
      </w:pPr>
      <w:r>
        <w:rPr>
          <w:rFonts w:ascii="Times New Roman" w:hAnsi="Times New Roman"/>
          <w:sz w:val="22"/>
        </w:rPr>
        <w:t>The transportability framework used here addresses this problem by testing compact, interpretable programmes across independent datasets. Instead of asking whether the same individual genes reach statistical significance in every cohort, the analysis asks whether a biologically coherent programme derived from a single-cell reference shifts in the same direction across external bulk cohorts. This is a conservative and useful intermediate level of evidence: stronger than a single-cohort candidate gene list, but still short of experimental validation or clinical biomarker qualification.</w:t>
      </w:r>
    </w:p>
    <w:p>
      <w:pPr>
        <w:jc w:val="left"/>
      </w:pPr>
      <w:r>
        <w:rPr>
          <w:rFonts w:ascii="Times New Roman" w:hAnsi="Times New Roman"/>
          <w:sz w:val="22"/>
        </w:rPr>
        <w:t>The behaviour of the secondary signatures supports this interpretation. The macrophage/APC programme showed the clearest and most consistent directional recurrence, whereas villi- or trophoblast-associated signatures were weaker, neutral or mixed when projected into decidua-focused bulk cohorts. This pattern argues against a trivial result in which every signature shifts similarly across all datasets. Instead, the strongest recurrence was observed for the decidual inflammatory macrophage/APC programme, consistent with tissue-context-aware transportability.</w:t>
      </w:r>
    </w:p>
    <w:p>
      <w:pPr>
        <w:pStyle w:val="Heading2"/>
      </w:pPr>
      <w:r>
        <w:t>Relationship to immune-tolerance disruption in recurrent pregnancy loss</w:t>
      </w:r>
    </w:p>
    <w:p>
      <w:pPr>
        <w:jc w:val="left"/>
      </w:pPr>
      <w:r>
        <w:rPr>
          <w:rFonts w:ascii="Times New Roman" w:hAnsi="Times New Roman"/>
          <w:sz w:val="22"/>
        </w:rPr>
        <w:t>The findings are consistent with the broader concept that recurrent pregnancy loss can involve disruption of immune balance at the maternal-fetal interface. Successful early pregnancy requires immune competence without destructive inflammation, tolerance without global immunosuppression and tissue remodelling without uncontrolled injury. Decidual macrophages and antigen-presenting cells are positioned at the centre of this balance because they can participate in both regulatory and inflammatory programmes.</w:t>
      </w:r>
    </w:p>
    <w:p>
      <w:pPr>
        <w:jc w:val="left"/>
      </w:pPr>
      <w:r>
        <w:rPr>
          <w:rFonts w:ascii="Times New Roman" w:hAnsi="Times New Roman"/>
          <w:sz w:val="22"/>
        </w:rPr>
        <w:t>The present analysis does not reduce recurrent pregnancy loss to a single immune mechanism. Instead, it identifies one recurrent tissue-state axis that appears across independent transcriptomic datasets. This axis may coexist with other processes, including abnormal decidualization, trophoblast dysfunction, vascular maladaptation, coagulation or complement dysregulation, chromosomal abnormalities, endocrine contributors and maternal systemic factors. The macrophage/APC programme should therefore be interpreted as one component of a broader decidual failure landscape rather than as a complete explanation for recurrent pregnancy loss.</w:t>
      </w:r>
    </w:p>
    <w:p>
      <w:pPr>
        <w:pStyle w:val="Heading2"/>
      </w:pPr>
      <w:r>
        <w:t>Limitations and evidence boundaries</w:t>
      </w:r>
    </w:p>
    <w:p>
      <w:pPr>
        <w:jc w:val="left"/>
      </w:pPr>
      <w:r>
        <w:rPr>
          <w:rFonts w:ascii="Times New Roman" w:hAnsi="Times New Roman"/>
          <w:sz w:val="22"/>
        </w:rPr>
        <w:t>Several limitations are important. First, the external bulk cohorts are small, and statistical testing is underpowered. The primary evidence criterion was therefore directional concordance across cohorts, not formal statistical significance within individual datasets. Second, public metadata were incomplete and not fully harmonized across cohorts. Important variables such as gestational age, fetal karyotype, number of previous losses, clinical subtype, treatment exposure, sampling procedure and tissue composition could not be uniformly controlled.</w:t>
      </w:r>
    </w:p>
    <w:p>
      <w:pPr>
        <w:jc w:val="left"/>
      </w:pPr>
      <w:r>
        <w:rPr>
          <w:rFonts w:ascii="Times New Roman" w:hAnsi="Times New Roman"/>
          <w:sz w:val="22"/>
        </w:rPr>
        <w:t>Third, bulk projection scores do not distinguish changes in cell abundance from changes in cell state. A higher macrophage/APC programme score in case samples may reflect increased macrophage abundance, altered macrophage activation, increased antigen-presentation activity, inflammatory contamination, tissue injury response or a mixture of these processes. Fourth, the single-cell reference itself is limited by its sample composition and by the use of pseudobulk contrasts for exploratory programme derivation. Although pseudobulk summarization avoids treating cells as independent biological replicates, it does not eliminate the limitations of small sample numbers.</w:t>
      </w:r>
    </w:p>
    <w:p>
      <w:pPr>
        <w:jc w:val="left"/>
      </w:pPr>
      <w:r>
        <w:rPr>
          <w:rFonts w:ascii="Times New Roman" w:hAnsi="Times New Roman"/>
          <w:sz w:val="22"/>
        </w:rPr>
        <w:t>Fifth, recurrent pregnancy loss and recurrent spontaneous abortion labels may not represent identical clinical entities across datasets. The analysis harmonized them as case groups for transportability testing, but this simplification may obscure clinically meaningful heterogeneity. Finally, because this is a retrospective computational analysis of public data, the study cannot establish causality, diagnostic performance, therapeutic relevance or patient-level clinical utility.</w:t>
      </w:r>
    </w:p>
    <w:p>
      <w:pPr>
        <w:pStyle w:val="Heading2"/>
      </w:pPr>
      <w:r>
        <w:t>Future validation directions</w:t>
      </w:r>
    </w:p>
    <w:p>
      <w:pPr>
        <w:jc w:val="left"/>
      </w:pPr>
      <w:r>
        <w:rPr>
          <w:rFonts w:ascii="Times New Roman" w:hAnsi="Times New Roman"/>
          <w:sz w:val="22"/>
        </w:rPr>
        <w:t>The macrophage/APC programme should be tested in larger decidua cohorts with richer clinical metadata. Future studies should prioritize fetal karyotype information, gestational age matching, standardized tissue sampling, detailed recurrent pregnancy loss phenotype definitions and separation of euploid from aneuploid loss where possible. These features would help determine whether the programme is associated with specific biological subtypes of pregnancy loss.</w:t>
      </w:r>
    </w:p>
    <w:p>
      <w:pPr>
        <w:jc w:val="left"/>
      </w:pPr>
      <w:r>
        <w:rPr>
          <w:rFonts w:ascii="Times New Roman" w:hAnsi="Times New Roman"/>
          <w:sz w:val="22"/>
        </w:rPr>
        <w:t>Spatial and protein-level validation will be particularly important. Spatial transcriptomics, multiplex immunofluorescence, imaging mass cytometry or targeted immunohistochemistry could determine whether the programme localizes to specific decidual niches and whether it reflects macrophage abundance, macrophage activation state, interaction with trophoblasts, stromal remodelling or vascular regions. Single-cell reanalysis of additional disease datasets could also test whether the programme maps to specific macrophage subsets or antigen-presenting cell states.</w:t>
      </w:r>
    </w:p>
    <w:p>
      <w:pPr>
        <w:jc w:val="left"/>
      </w:pPr>
      <w:r>
        <w:rPr>
          <w:rFonts w:ascii="Times New Roman" w:hAnsi="Times New Roman"/>
          <w:sz w:val="22"/>
        </w:rPr>
        <w:t>Functionally, the programme motivates hypotheses about decidual myeloid activation, antigen presentation, complement-associated macrophage biology and inflammatory tissue remodelling. These hypotheses should be investigated experimentally in appropriate decidual cell models, tissue explants or carefully designed maternal-fetal-interface studies. Any future clinical translation would require independent validation, prospective cohort testing and demonstration that the programme adds information beyond established clinical and pathological features.</w:t>
      </w:r>
    </w:p>
    <w:p>
      <w:pPr>
        <w:pStyle w:val="Heading2"/>
      </w:pPr>
      <w:r>
        <w:t>Conclusion</w:t>
      </w:r>
    </w:p>
    <w:p>
      <w:pPr>
        <w:jc w:val="left"/>
      </w:pPr>
      <w:r>
        <w:rPr>
          <w:rFonts w:ascii="Times New Roman" w:hAnsi="Times New Roman"/>
          <w:sz w:val="22"/>
        </w:rPr>
        <w:t>This study provides exploratory evidence that a single-cell-derived recurrent-miscarriage decidual inflammatory macrophage/APC programme recurs directionally across three independent bulk decidua transcriptomic cohorts. The finding supports the use of single-cell-informed transportability analysis to identify reproducible tissue-state programmes in recurrent pregnancy loss. The macrophage/APC axis is a biologically coherent and reproducible candidate programme for future validation, but it should not yet be considered causal, diagnostic or clinically actionable.</w:t>
      </w:r>
    </w:p>
    <w:p>
      <w:pPr>
        <w:pStyle w:val="Heading1"/>
      </w:pPr>
      <w:r>
        <w:t>Data Availability Statement</w:t>
      </w:r>
    </w:p>
    <w:p>
      <w:pPr>
        <w:jc w:val="left"/>
      </w:pPr>
      <w:r>
        <w:rPr>
          <w:rFonts w:ascii="Times New Roman" w:hAnsi="Times New Roman"/>
          <w:sz w:val="22"/>
        </w:rPr>
        <w:t>All datasets analysed in this study are publicly available from the Gene Expression Omnibus or associated public sequence repositories under accession numbers GSE214607, GSE161969, GSE113790 and GSE178535. Derived signature files, curated metadata summaries, projection-score tables, cross-cohort transportability summaries, figure files, manuscript drafts, QC reports and reproducibility documentation are available in the project repository: https://github.com/rmaghembe1/rpl-decidua-transportability. Large raw downloads and regenerable intermediate objects are not redistributed in the repository because the source datasets remain publicly available from their original repositories.</w:t>
      </w:r>
    </w:p>
    <w:p>
      <w:pPr>
        <w:pStyle w:val="Heading1"/>
      </w:pPr>
      <w:r>
        <w:t>Author contributions</w:t>
      </w:r>
    </w:p>
    <w:p>
      <w:pPr>
        <w:jc w:val="center"/>
      </w:pPr>
      <w:r>
        <w:rPr>
          <w:rFonts w:ascii="Times New Roman" w:hAnsi="Times New Roman"/>
          <w:b w:val="0"/>
          <w:i w:val="0"/>
          <w:sz w:val="22"/>
        </w:rPr>
        <w:t>Reuben S. Maghembe: conceptualisation, methodology, software, formal analysis, investigation, data curation, visualisation, writing - original draft, writing - review and editing, project administration.</w:t>
      </w:r>
    </w:p>
    <w:p>
      <w:pPr>
        <w:pStyle w:val="Heading1"/>
      </w:pPr>
      <w:r>
        <w:t>Funding</w:t>
      </w:r>
    </w:p>
    <w:p>
      <w:pPr>
        <w:jc w:val="left"/>
      </w:pPr>
      <w:r>
        <w:rPr>
          <w:rFonts w:ascii="Times New Roman" w:hAnsi="Times New Roman"/>
          <w:sz w:val="22"/>
        </w:rPr>
        <w:t>This research received no specific grant from any funding agency in the public, commercial or not-for-profit sectors. The study was conducted as an unfunded computational reanalysis of publicly available datasets using open-source software and publicly accessible data resources.</w:t>
      </w:r>
    </w:p>
    <w:p>
      <w:pPr>
        <w:pStyle w:val="Heading1"/>
      </w:pPr>
      <w:r>
        <w:t>Acknowledgments</w:t>
      </w:r>
    </w:p>
    <w:p>
      <w:pPr>
        <w:jc w:val="left"/>
      </w:pPr>
      <w:r>
        <w:rPr>
          <w:rFonts w:ascii="Times New Roman" w:hAnsi="Times New Roman"/>
          <w:sz w:val="22"/>
        </w:rPr>
        <w:t>The author acknowledges the investigators who generated and publicly deposited the GSE214607, GSE161969, GSE113790 and GSE178535 datasets. Public data sharing and open-source scientific software made this integrative transcriptomic reanalysis possible.</w:t>
      </w:r>
    </w:p>
    <w:p>
      <w:pPr>
        <w:pStyle w:val="Heading1"/>
      </w:pPr>
      <w:r>
        <w:t>Competing interests</w:t>
      </w:r>
    </w:p>
    <w:p>
      <w:pPr>
        <w:jc w:val="left"/>
      </w:pPr>
      <w:r>
        <w:rPr>
          <w:rFonts w:ascii="Times New Roman" w:hAnsi="Times New Roman"/>
          <w:sz w:val="22"/>
        </w:rPr>
        <w:t>The author declares no competing interests.</w:t>
      </w:r>
    </w:p>
    <w:p>
      <w:pPr>
        <w:pStyle w:val="Heading1"/>
      </w:pPr>
      <w:r>
        <w:t>References</w:t>
      </w:r>
    </w:p>
    <w:p>
      <w:pPr>
        <w:jc w:val="left"/>
      </w:pPr>
      <w:r>
        <w:rPr>
          <w:rFonts w:ascii="Times New Roman" w:hAnsi="Times New Roman"/>
          <w:sz w:val="22"/>
        </w:rPr>
        <w:t>1. ESHRE Guideline Group on RPL / Bender Atik et al. ESHRE guideline: recurrent pregnancy loss: an update in 2022. Human Reproduction Open (2023). doi:10.1093/hropen/hoad002.</w:t>
      </w:r>
    </w:p>
    <w:p>
      <w:pPr>
        <w:jc w:val="left"/>
      </w:pPr>
      <w:r>
        <w:rPr>
          <w:rFonts w:ascii="Times New Roman" w:hAnsi="Times New Roman"/>
          <w:sz w:val="22"/>
        </w:rPr>
        <w:t>2. Practice Committee of the American Society for Reproductive Medicine. Recurrent pregnancy loss: a committee opinion. Fertility and Sterility / ASRM practice guidance (2026).</w:t>
      </w:r>
    </w:p>
    <w:p>
      <w:pPr>
        <w:jc w:val="left"/>
      </w:pPr>
      <w:r>
        <w:rPr>
          <w:rFonts w:ascii="Times New Roman" w:hAnsi="Times New Roman"/>
          <w:sz w:val="22"/>
        </w:rPr>
        <w:t>3. Vento-Tormo, R. et al. Single-cell reconstruction of the early maternal-fetal interface in humans. Nature (2018). doi:10.1038/s41586-018-0698-6.</w:t>
      </w:r>
    </w:p>
    <w:p>
      <w:pPr>
        <w:jc w:val="left"/>
      </w:pPr>
      <w:r>
        <w:rPr>
          <w:rFonts w:ascii="Times New Roman" w:hAnsi="Times New Roman"/>
          <w:sz w:val="22"/>
        </w:rPr>
        <w:t>4. GEO accession GSE214607. Single-cell sequencing and second-generation RNA sequencing-based screening of macrophage-associated marker genes for recurrent miscarriage diagnosis. Gene Expression Omnibus.</w:t>
      </w:r>
    </w:p>
    <w:p>
      <w:pPr>
        <w:jc w:val="left"/>
      </w:pPr>
      <w:r>
        <w:rPr>
          <w:rFonts w:ascii="Times New Roman" w:hAnsi="Times New Roman"/>
          <w:sz w:val="22"/>
        </w:rPr>
        <w:t>5. NCBI SRA accession SRP400574. Raw sequence record associated with GSE214607.</w:t>
      </w:r>
    </w:p>
    <w:p>
      <w:pPr>
        <w:jc w:val="left"/>
      </w:pPr>
      <w:r>
        <w:rPr>
          <w:rFonts w:ascii="Times New Roman" w:hAnsi="Times New Roman"/>
          <w:sz w:val="22"/>
        </w:rPr>
        <w:t>6. Wei, Y. et al. Identification and validation of a signature based on macrophage cell marker genes to predict recurrent miscarriage by integrated analysis of single-cell and bulk RNA-sequencing. Frontiers in Immunology (2022). doi:10.3389/fimmu.2022.1053819.</w:t>
      </w:r>
    </w:p>
    <w:p>
      <w:pPr>
        <w:jc w:val="left"/>
      </w:pPr>
      <w:r>
        <w:rPr>
          <w:rFonts w:ascii="Times New Roman" w:hAnsi="Times New Roman"/>
          <w:sz w:val="22"/>
        </w:rPr>
        <w:t>7. GEO accession GSE161969. RNA sequencing of decidua reveals differentially expressed genes in recurrent pregnancy loss. Gene Expression Omnibus.</w:t>
      </w:r>
    </w:p>
    <w:p>
      <w:pPr>
        <w:jc w:val="left"/>
      </w:pPr>
      <w:r>
        <w:rPr>
          <w:rFonts w:ascii="Times New Roman" w:hAnsi="Times New Roman"/>
          <w:sz w:val="22"/>
        </w:rPr>
        <w:t>8. Chen, Y. et al. RNA Sequencing of Decidua Reveals Differentially Expressed Genes in Recurrent Pregnancy Loss. Reproductive Sciences (2021). doi:10.1007/s43032-021-00482-w.</w:t>
      </w:r>
    </w:p>
    <w:p>
      <w:pPr>
        <w:jc w:val="left"/>
      </w:pPr>
      <w:r>
        <w:rPr>
          <w:rFonts w:ascii="Times New Roman" w:hAnsi="Times New Roman"/>
          <w:sz w:val="22"/>
        </w:rPr>
        <w:t>9. NCBI SRA accession SRP293708. Raw sequence record associated with GSE161969.</w:t>
      </w:r>
    </w:p>
    <w:p>
      <w:pPr>
        <w:jc w:val="left"/>
      </w:pPr>
      <w:r>
        <w:rPr>
          <w:rFonts w:ascii="Times New Roman" w:hAnsi="Times New Roman"/>
          <w:sz w:val="22"/>
        </w:rPr>
        <w:t>10. GEO accession GSE113790. RNA sequencing analysis of decidua tissues from unexplained recurrent spontaneous abortion patients and controls with induced abortions. Gene Expression Omnibus.</w:t>
      </w:r>
    </w:p>
    <w:p>
      <w:pPr>
        <w:jc w:val="left"/>
      </w:pPr>
      <w:r>
        <w:rPr>
          <w:rFonts w:ascii="Times New Roman" w:hAnsi="Times New Roman"/>
          <w:sz w:val="22"/>
        </w:rPr>
        <w:t>11. NCBI SRA accession SRP143517. Raw sequence record associated with GSE113790.</w:t>
      </w:r>
    </w:p>
    <w:p>
      <w:pPr>
        <w:jc w:val="left"/>
      </w:pPr>
      <w:r>
        <w:rPr>
          <w:rFonts w:ascii="Times New Roman" w:hAnsi="Times New Roman"/>
          <w:sz w:val="22"/>
        </w:rPr>
        <w:t>12. GEO accession GSE178535. Next Generation Sequencing Facilitates Quantitative Analysis of Decidua Tissue in Recurrent Pregnancy Loss. Gene Expression Omnibus.</w:t>
      </w:r>
    </w:p>
    <w:p>
      <w:pPr>
        <w:pStyle w:val="Heading1"/>
      </w:pPr>
      <w:r>
        <w:t>Supporting information captions</w:t>
      </w:r>
    </w:p>
    <w:p>
      <w:pPr>
        <w:jc w:val="left"/>
      </w:pPr>
      <w:r>
        <w:rPr>
          <w:rFonts w:ascii="Times New Roman" w:hAnsi="Times New Roman"/>
          <w:sz w:val="22"/>
        </w:rPr>
        <w:t>Supplementary Table S1. Dataset metadata and sample inclusion framework. Curated sample metadata, tissue source, disease group, analysis role and inclusion/exclusion status for GSE214607, GSE161969, GSE113790 and GSE178535.</w:t>
      </w:r>
    </w:p>
    <w:p>
      <w:pPr>
        <w:jc w:val="left"/>
      </w:pPr>
      <w:r>
        <w:rPr>
          <w:rFonts w:ascii="Times New Roman" w:hAnsi="Times New Roman"/>
          <w:sz w:val="22"/>
        </w:rPr>
        <w:t>Supplementary Table S2. GSE214607-derived projection-ready signature gene sets. Decidual macrophage/APC, decidua immune-stromal, villi trophoblast/epithelial and RM villi structural/trophoblast signature gene sets used for projection.</w:t>
      </w:r>
    </w:p>
    <w:p>
      <w:pPr>
        <w:jc w:val="left"/>
      </w:pPr>
      <w:r>
        <w:rPr>
          <w:rFonts w:ascii="Times New Roman" w:hAnsi="Times New Roman"/>
          <w:sz w:val="22"/>
        </w:rPr>
        <w:t>Supplementary Table S3. Three-cohort signature projection and transportability statistics. Signature scores, gene-overlap metrics, cohort-specific case-minus-control deltas and cross-cohort concordance summaries.</w:t>
      </w:r>
    </w:p>
    <w:p>
      <w:pPr>
        <w:jc w:val="left"/>
      </w:pPr>
      <w:r>
        <w:rPr>
          <w:rFonts w:ascii="Times New Roman" w:hAnsi="Times New Roman"/>
          <w:sz w:val="22"/>
        </w:rPr>
        <w:t>Supplementary Table S4. Figure caption support and reproducibility audit. Figure-source tables, script/output inventory, release-manifest notes and interpretation-boundary documentation.</w:t>
      </w:r>
    </w:p>
    <w:p>
      <w:pPr>
        <w:pStyle w:val="Heading1"/>
      </w:pPr>
      <w:r>
        <w:t>Figure legends</w:t>
      </w:r>
    </w:p>
    <w:p>
      <w:pPr>
        <w:pStyle w:val="Heading2"/>
      </w:pPr>
      <w:r>
        <w:t>Figure 1. Study design and analytical workflow</w:t>
      </w:r>
    </w:p>
    <w:p>
      <w:pPr>
        <w:jc w:val="left"/>
      </w:pPr>
      <w:r>
        <w:rPr>
          <w:rFonts w:ascii="Times New Roman" w:hAnsi="Times New Roman"/>
          <w:sz w:val="22"/>
        </w:rPr>
        <w:t>**Figure 1. Single-cell-informed transcriptomic transportability workflow for recurrent pregnancy loss decidua analysis.**</w:t>
      </w:r>
    </w:p>
    <w:p>
      <w:pPr>
        <w:jc w:val="left"/>
      </w:pPr>
      <w:r>
        <w:rPr>
          <w:rFonts w:ascii="Times New Roman" w:hAnsi="Times New Roman"/>
          <w:sz w:val="22"/>
        </w:rPr>
        <w:t>The study used GSE214607 as a disease single-cell/pseudobulk reference and three independent bulk decidua cohorts, GSE161969, GSE113790 and GSE178535, as external projection datasets. Single-cell count matrices from GSE214607 were imported, quality-controlled and aggregated into sample-level pseudobulk profiles. Recurrent-miscarriage-associated and tissue-associated candidate programmes were derived from pseudobulk contrasts, filtered for interpretability and converted into compact projection-ready signatures. These signatures were projected into each bulk cohort using within-cohort standardized expression. Transportability was assessed using signature gene coverage, case-minus-control programme-score shifts and directional concordance across cohorts. The workflow was designed to test programme-level recurrence, not diagnostic classifier performance.</w:t>
      </w:r>
    </w:p>
    <w:p>
      <w:pPr>
        <w:pStyle w:val="Heading2"/>
      </w:pPr>
      <w:r>
        <w:t>Figure 2. GSE214607-derived projection-ready tissue-state signatures</w:t>
      </w:r>
    </w:p>
    <w:p>
      <w:pPr>
        <w:jc w:val="left"/>
      </w:pPr>
      <w:r>
        <w:rPr>
          <w:rFonts w:ascii="Times New Roman" w:hAnsi="Times New Roman"/>
          <w:sz w:val="22"/>
        </w:rPr>
        <w:t>**Figure 2. Derivation of projection-ready recurrent-miscarriage and tissue-context programmes from GSE214607.**</w:t>
      </w:r>
    </w:p>
    <w:p>
      <w:pPr>
        <w:jc w:val="left"/>
      </w:pPr>
      <w:r>
        <w:rPr>
          <w:rFonts w:ascii="Times New Roman" w:hAnsi="Times New Roman"/>
          <w:sz w:val="22"/>
        </w:rPr>
        <w:t>Pseudobulk contrasts from the GSE214607 single-cell reference were used to derive candidate recurrent-miscarriage-associated and tissue-associated gene programmes. Candidate genes were filtered to remove low-interpretability noncoding, housekeeping, ribosomal, mitochondrial and technical features while retaining biologically informative maternal-fetal-interface marker genes. Four compact signatures were retained for projection into external bulk cohorts: recurrent-miscarriage decidual inflammatory macrophage/APC up, decidua immune-stromal identity, villi trophoblast/epithelial identity and recurrent-miscarriage villi structural/trophoblast. The macrophage/APC programme was designated as the primary programme of interest because it was disease-associated in the decidual contrast, biologically coherent and technically suitable for projection.</w:t>
      </w:r>
    </w:p>
    <w:p>
      <w:pPr>
        <w:pStyle w:val="Heading2"/>
      </w:pPr>
      <w:r>
        <w:t>Figure 3. Three-cohort transportability of the macrophage/APC programme</w:t>
      </w:r>
    </w:p>
    <w:p>
      <w:pPr>
        <w:jc w:val="left"/>
      </w:pPr>
      <w:r>
        <w:rPr>
          <w:rFonts w:ascii="Times New Roman" w:hAnsi="Times New Roman"/>
          <w:sz w:val="22"/>
        </w:rPr>
        <w:t>**Figure 3. A GSE214607-derived recurrent-miscarriage decidual inflammatory macrophage/APC programme shows positive directional recurrence across three independent bulk decidua cohorts.**</w:t>
      </w:r>
    </w:p>
    <w:p>
      <w:pPr>
        <w:jc w:val="left"/>
      </w:pPr>
      <w:r>
        <w:rPr>
          <w:rFonts w:ascii="Times New Roman" w:hAnsi="Times New Roman"/>
          <w:sz w:val="22"/>
        </w:rPr>
        <w:t>The compact recurrent-miscarriage decidual inflammatory macrophage/APC programme derived from GSE214607 was projected into GSE161969, GSE113790 and GSE178535. Programme scores are shown for control and RPL/RSA case samples within each cohort. The macrophage/APC programme had complete gene coverage in all three cohorts and showed positive case-associated shifts in every dataset. Case-minus-control deltas were +1.019 in GSE161969, +0.282 in GSE113790 and +0.941 in GSE178535, giving a mean delta of +0.747 and positive recurrence in 3/3 cohorts. Because external cohort sizes were small, this result is interpreted as exploratory directional programme recurrence rather than statistical validation or diagnostic biomarker evidence.</w:t>
      </w:r>
    </w:p>
    <w:p>
      <w:pPr>
        <w:pStyle w:val="Heading2"/>
      </w:pPr>
      <w:r>
        <w:t>Figure 4. Cross-cohort delta summary for all projected signatures</w:t>
      </w:r>
    </w:p>
    <w:p>
      <w:pPr>
        <w:jc w:val="left"/>
      </w:pPr>
      <w:r>
        <w:rPr>
          <w:rFonts w:ascii="Times New Roman" w:hAnsi="Times New Roman"/>
          <w:sz w:val="22"/>
        </w:rPr>
        <w:t>**Figure 4. Transportability patterns of four GSE214607-derived signatures across external bulk decidua cohorts.**</w:t>
      </w:r>
    </w:p>
    <w:p>
      <w:pPr>
        <w:jc w:val="left"/>
      </w:pPr>
      <w:r>
        <w:rPr>
          <w:rFonts w:ascii="Times New Roman" w:hAnsi="Times New Roman"/>
          <w:sz w:val="22"/>
        </w:rPr>
        <w:t>Case-minus-control programme-score deltas are summarized for four GSE214607-derived signatures projected into GSE161969, GSE113790 and GSE178535. The recurrent-miscarriage decidual inflammatory macrophage/APC programme showed the strongest and most consistent positive directional recurrence across cohorts. The decidua immune-stromal identity programme showed weaker positive shifts, while villi trophoblast/epithelial and recurrent-miscarriage villi structural/trophoblast signatures showed weaker, neutral or mixed transportability in decidua-focused bulk datasets. This pattern supports tissue-context-aware transportability and argues against a nonspecific projection effect shared equally across all signatures.</w:t>
      </w:r>
    </w:p>
    <w:p>
      <w:pPr>
        <w:pStyle w:val="Heading2"/>
      </w:pPr>
      <w:r>
        <w:t>Supplementary Figure 1. Dataset processing and signature coverage</w:t>
      </w:r>
    </w:p>
    <w:p>
      <w:pPr>
        <w:jc w:val="left"/>
      </w:pPr>
      <w:r>
        <w:rPr>
          <w:rFonts w:ascii="Times New Roman" w:hAnsi="Times New Roman"/>
          <w:sz w:val="22"/>
        </w:rPr>
        <w:t>**Supplementary Figure 1. Dataset processing, quality-control and signature-coverage summary.**</w:t>
      </w:r>
    </w:p>
    <w:p>
      <w:pPr>
        <w:jc w:val="left"/>
      </w:pPr>
      <w:r>
        <w:rPr>
          <w:rFonts w:ascii="Times New Roman" w:hAnsi="Times New Roman"/>
          <w:sz w:val="22"/>
        </w:rPr>
        <w:t>Summary of public dataset processing steps and signature gene coverage across external bulk cohorts. GSE214607 was processed from raw 10x matrices into pseudobulk sample-level profiles. GSE161969, GSE113790 and GSE178535 were imported from public processed expression matrices and harmonized to gene-symbol-level expression tables. Projection-ready signatures were intersected with each bulk cohort to calculate gene coverage before programme scoring. The primary recurrent-miscarriage decidual inflammatory macrophage/APC signature showed complete 30/30 gene coverage in all three external cohorts.</w:t>
      </w:r>
    </w:p>
    <w:p>
      <w:pPr>
        <w:pStyle w:val="Heading2"/>
      </w:pPr>
      <w:r>
        <w:t>Supplementary Figure 2. Single-cohort and intermediate two-cohort projection summaries</w:t>
      </w:r>
    </w:p>
    <w:p>
      <w:pPr>
        <w:jc w:val="left"/>
      </w:pPr>
      <w:r>
        <w:rPr>
          <w:rFonts w:ascii="Times New Roman" w:hAnsi="Times New Roman"/>
          <w:sz w:val="22"/>
        </w:rPr>
        <w:t>**Supplementary Figure 2. Intermediate projection summaries supporting three-cohort transportability analysis.**</w:t>
      </w:r>
    </w:p>
    <w:p>
      <w:pPr>
        <w:jc w:val="left"/>
      </w:pPr>
      <w:r>
        <w:rPr>
          <w:rFonts w:ascii="Times New Roman" w:hAnsi="Times New Roman"/>
          <w:sz w:val="22"/>
        </w:rPr>
        <w:t>Single-cohort and two-cohort projection summaries illustrate the stepwise development of the transportability analysis. Initial projection into GSE161969 showed a positive shift of the GSE214607-derived macrophage/APC programme. Addition of GSE113790 supported a second positive directional signal, and inclusion of GSE178535 established positive recurrence across three independent cohorts. These intermediate figures are provided for transparency and reproducibility rather than as separate confirmatory analyses.</w:t>
      </w:r>
    </w:p>
    <w:p>
      <w:pPr>
        <w:pStyle w:val="Heading1"/>
      </w:pPr>
      <w:r>
        <w:t>Tables</w:t>
      </w:r>
    </w:p>
    <w:p>
      <w:pPr>
        <w:pStyle w:val="Heading2"/>
      </w:pPr>
      <w:r>
        <w:t>Table 1. Public datasets used in the analysis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tcPr>
          <w:p>
            <w:r>
              <w:rPr>
                <w:b/>
              </w:rPr>
            </w:r>
            <w:r>
              <w:rPr>
                <w:rFonts w:ascii="Times New Roman" w:hAnsi="Times New Roman"/>
                <w:b/>
                <w:sz w:val="20"/>
              </w:rPr>
              <w:t>Dataset</w:t>
            </w:r>
          </w:p>
        </w:tc>
        <w:tc>
          <w:tcPr>
            <w:tcW w:type="dxa" w:w="1419"/>
          </w:tcPr>
          <w:p>
            <w:r>
              <w:rPr>
                <w:b/>
              </w:rPr>
            </w:r>
            <w:r>
              <w:rPr>
                <w:rFonts w:ascii="Times New Roman" w:hAnsi="Times New Roman"/>
                <w:b/>
                <w:sz w:val="20"/>
              </w:rPr>
              <w:t>Assay/data type</w:t>
            </w:r>
          </w:p>
        </w:tc>
        <w:tc>
          <w:tcPr>
            <w:tcW w:type="dxa" w:w="1419"/>
          </w:tcPr>
          <w:p>
            <w:r>
              <w:rPr>
                <w:b/>
              </w:rPr>
            </w:r>
            <w:r>
              <w:rPr>
                <w:rFonts w:ascii="Times New Roman" w:hAnsi="Times New Roman"/>
                <w:b/>
                <w:sz w:val="20"/>
              </w:rPr>
              <w:t>Tissue/source</w:t>
            </w:r>
          </w:p>
        </w:tc>
        <w:tc>
          <w:tcPr>
            <w:tcW w:type="dxa" w:w="1419"/>
          </w:tcPr>
          <w:p>
            <w:r>
              <w:rPr>
                <w:b/>
              </w:rPr>
            </w:r>
            <w:r>
              <w:rPr>
                <w:rFonts w:ascii="Times New Roman" w:hAnsi="Times New Roman"/>
                <w:b/>
                <w:sz w:val="20"/>
              </w:rPr>
              <w:t>Groups used</w:t>
            </w:r>
          </w:p>
        </w:tc>
        <w:tc>
          <w:tcPr>
            <w:tcW w:type="dxa" w:w="1419"/>
          </w:tcPr>
          <w:p>
            <w:r>
              <w:rPr>
                <w:b/>
              </w:rPr>
            </w:r>
            <w:r>
              <w:rPr>
                <w:rFonts w:ascii="Times New Roman" w:hAnsi="Times New Roman"/>
                <w:b/>
                <w:sz w:val="20"/>
              </w:rPr>
              <w:t>Role in study</w:t>
            </w:r>
          </w:p>
        </w:tc>
        <w:tc>
          <w:tcPr>
            <w:tcW w:type="dxa" w:w="1419"/>
          </w:tcPr>
          <w:p>
            <w:r>
              <w:rPr>
                <w:b/>
              </w:rPr>
            </w:r>
            <w:r>
              <w:rPr>
                <w:rFonts w:ascii="Times New Roman" w:hAnsi="Times New Roman"/>
                <w:b/>
                <w:sz w:val="20"/>
              </w:rPr>
              <w:t>Key processing</w:t>
            </w:r>
          </w:p>
        </w:tc>
        <w:tc>
          <w:tcPr>
            <w:tcW w:type="dxa" w:w="1419"/>
          </w:tcPr>
          <w:p>
            <w:r>
              <w:rPr>
                <w:b/>
              </w:rPr>
            </w:r>
            <w:r>
              <w:rPr>
                <w:rFonts w:ascii="Times New Roman" w:hAnsi="Times New Roman"/>
                <w:b/>
                <w:sz w:val="20"/>
              </w:rPr>
              <w:t>Main limitation</w:t>
            </w:r>
          </w:p>
        </w:tc>
      </w:tr>
      <w:tr>
        <w:tc>
          <w:tcPr>
            <w:tcW w:type="dxa" w:w="1419"/>
          </w:tcPr>
          <w:p>
            <w:r/>
            <w:r>
              <w:rPr>
                <w:rFonts w:ascii="Times New Roman" w:hAnsi="Times New Roman"/>
                <w:sz w:val="20"/>
              </w:rPr>
              <w:t>GSE214607</w:t>
            </w:r>
          </w:p>
        </w:tc>
        <w:tc>
          <w:tcPr>
            <w:tcW w:type="dxa" w:w="1419"/>
          </w:tcPr>
          <w:p>
            <w:r/>
            <w:r>
              <w:rPr>
                <w:rFonts w:ascii="Times New Roman" w:hAnsi="Times New Roman"/>
                <w:sz w:val="20"/>
              </w:rPr>
              <w:t>Single-cell RNA-seq / pseudobulk reference</w:t>
            </w:r>
          </w:p>
        </w:tc>
        <w:tc>
          <w:tcPr>
            <w:tcW w:type="dxa" w:w="1419"/>
          </w:tcPr>
          <w:p>
            <w:r/>
            <w:r>
              <w:rPr>
                <w:rFonts w:ascii="Times New Roman" w:hAnsi="Times New Roman"/>
                <w:sz w:val="20"/>
              </w:rPr>
              <w:t>First-trimester decidua and villi</w:t>
            </w:r>
          </w:p>
        </w:tc>
        <w:tc>
          <w:tcPr>
            <w:tcW w:type="dxa" w:w="1419"/>
          </w:tcPr>
          <w:p>
            <w:r/>
            <w:r>
              <w:rPr>
                <w:rFonts w:ascii="Times New Roman" w:hAnsi="Times New Roman"/>
                <w:sz w:val="20"/>
              </w:rPr>
              <w:t>Control and recurrent miscarriage</w:t>
            </w:r>
          </w:p>
        </w:tc>
        <w:tc>
          <w:tcPr>
            <w:tcW w:type="dxa" w:w="1419"/>
          </w:tcPr>
          <w:p>
            <w:r/>
            <w:r>
              <w:rPr>
                <w:rFonts w:ascii="Times New Roman" w:hAnsi="Times New Roman"/>
                <w:sz w:val="20"/>
              </w:rPr>
              <w:t>Disease single-cell reference; programme derivation</w:t>
            </w:r>
          </w:p>
        </w:tc>
        <w:tc>
          <w:tcPr>
            <w:tcW w:type="dxa" w:w="1419"/>
          </w:tcPr>
          <w:p>
            <w:r/>
            <w:r>
              <w:rPr>
                <w:rFonts w:ascii="Times New Roman" w:hAnsi="Times New Roman"/>
                <w:sz w:val="20"/>
              </w:rPr>
              <w:t>Raw 10x matrices imported, QC-filtered, aggregated to sample-level pseudobulk</w:t>
            </w:r>
          </w:p>
        </w:tc>
        <w:tc>
          <w:tcPr>
            <w:tcW w:type="dxa" w:w="1419"/>
          </w:tcPr>
          <w:p>
            <w:r/>
            <w:r>
              <w:rPr>
                <w:rFonts w:ascii="Times New Roman" w:hAnsi="Times New Roman"/>
                <w:sz w:val="20"/>
              </w:rPr>
              <w:t>Limited sample numbers; exploratory programme derivation</w:t>
            </w:r>
          </w:p>
        </w:tc>
      </w:tr>
      <w:tr>
        <w:tc>
          <w:tcPr>
            <w:tcW w:type="dxa" w:w="1419"/>
          </w:tcPr>
          <w:p>
            <w:r/>
            <w:r>
              <w:rPr>
                <w:rFonts w:ascii="Times New Roman" w:hAnsi="Times New Roman"/>
                <w:sz w:val="20"/>
              </w:rPr>
              <w:t>GSE161969</w:t>
            </w:r>
          </w:p>
        </w:tc>
        <w:tc>
          <w:tcPr>
            <w:tcW w:type="dxa" w:w="1419"/>
          </w:tcPr>
          <w:p>
            <w:r/>
            <w:r>
              <w:rPr>
                <w:rFonts w:ascii="Times New Roman" w:hAnsi="Times New Roman"/>
                <w:sz w:val="20"/>
              </w:rPr>
              <w:t>Bulk RNA-seq processed expression</w:t>
            </w:r>
          </w:p>
        </w:tc>
        <w:tc>
          <w:tcPr>
            <w:tcW w:type="dxa" w:w="1419"/>
          </w:tcPr>
          <w:p>
            <w:r/>
            <w:r>
              <w:rPr>
                <w:rFonts w:ascii="Times New Roman" w:hAnsi="Times New Roman"/>
                <w:sz w:val="20"/>
              </w:rPr>
              <w:t>Decidua</w:t>
            </w:r>
          </w:p>
        </w:tc>
        <w:tc>
          <w:tcPr>
            <w:tcW w:type="dxa" w:w="1419"/>
          </w:tcPr>
          <w:p>
            <w:r/>
            <w:r>
              <w:rPr>
                <w:rFonts w:ascii="Times New Roman" w:hAnsi="Times New Roman"/>
                <w:sz w:val="20"/>
              </w:rPr>
              <w:t>Control and RPL</w:t>
            </w:r>
          </w:p>
        </w:tc>
        <w:tc>
          <w:tcPr>
            <w:tcW w:type="dxa" w:w="1419"/>
          </w:tcPr>
          <w:p>
            <w:r/>
            <w:r>
              <w:rPr>
                <w:rFonts w:ascii="Times New Roman" w:hAnsi="Times New Roman"/>
                <w:sz w:val="20"/>
              </w:rPr>
              <w:t>External bulk projection cohort</w:t>
            </w:r>
          </w:p>
        </w:tc>
        <w:tc>
          <w:tcPr>
            <w:tcW w:type="dxa" w:w="1419"/>
          </w:tcPr>
          <w:p>
            <w:r/>
            <w:r>
              <w:rPr>
                <w:rFonts w:ascii="Times New Roman" w:hAnsi="Times New Roman"/>
                <w:sz w:val="20"/>
              </w:rPr>
              <w:t>Gene-symbol FPKM matrix; log2(FPKM + 1); within-cohort scoring</w:t>
            </w:r>
          </w:p>
        </w:tc>
        <w:tc>
          <w:tcPr>
            <w:tcW w:type="dxa" w:w="1419"/>
          </w:tcPr>
          <w:p>
            <w:r/>
            <w:r>
              <w:rPr>
                <w:rFonts w:ascii="Times New Roman" w:hAnsi="Times New Roman"/>
                <w:sz w:val="20"/>
              </w:rPr>
              <w:t>Very small cohort; limited metadata</w:t>
            </w:r>
          </w:p>
        </w:tc>
      </w:tr>
      <w:tr>
        <w:tc>
          <w:tcPr>
            <w:tcW w:type="dxa" w:w="1419"/>
          </w:tcPr>
          <w:p>
            <w:r/>
            <w:r>
              <w:rPr>
                <w:rFonts w:ascii="Times New Roman" w:hAnsi="Times New Roman"/>
                <w:sz w:val="20"/>
              </w:rPr>
              <w:t>GSE113790</w:t>
            </w:r>
          </w:p>
        </w:tc>
        <w:tc>
          <w:tcPr>
            <w:tcW w:type="dxa" w:w="1419"/>
          </w:tcPr>
          <w:p>
            <w:r/>
            <w:r>
              <w:rPr>
                <w:rFonts w:ascii="Times New Roman" w:hAnsi="Times New Roman"/>
                <w:sz w:val="20"/>
              </w:rPr>
              <w:t>Bulk transcriptomic processed expression</w:t>
            </w:r>
          </w:p>
        </w:tc>
        <w:tc>
          <w:tcPr>
            <w:tcW w:type="dxa" w:w="1419"/>
          </w:tcPr>
          <w:p>
            <w:r/>
            <w:r>
              <w:rPr>
                <w:rFonts w:ascii="Times New Roman" w:hAnsi="Times New Roman"/>
                <w:sz w:val="20"/>
              </w:rPr>
              <w:t>Decidua</w:t>
            </w:r>
          </w:p>
        </w:tc>
        <w:tc>
          <w:tcPr>
            <w:tcW w:type="dxa" w:w="1419"/>
          </w:tcPr>
          <w:p>
            <w:r/>
            <w:r>
              <w:rPr>
                <w:rFonts w:ascii="Times New Roman" w:hAnsi="Times New Roman"/>
                <w:sz w:val="20"/>
              </w:rPr>
              <w:t>Control and RSA</w:t>
            </w:r>
          </w:p>
        </w:tc>
        <w:tc>
          <w:tcPr>
            <w:tcW w:type="dxa" w:w="1419"/>
          </w:tcPr>
          <w:p>
            <w:r/>
            <w:r>
              <w:rPr>
                <w:rFonts w:ascii="Times New Roman" w:hAnsi="Times New Roman"/>
                <w:sz w:val="20"/>
              </w:rPr>
              <w:t>External bulk projection cohort</w:t>
            </w:r>
          </w:p>
        </w:tc>
        <w:tc>
          <w:tcPr>
            <w:tcW w:type="dxa" w:w="1419"/>
          </w:tcPr>
          <w:p>
            <w:r/>
            <w:r>
              <w:rPr>
                <w:rFonts w:ascii="Times New Roman" w:hAnsi="Times New Roman"/>
                <w:sz w:val="20"/>
              </w:rPr>
              <w:t>FPKM matrix imported; sample labels curated; within-cohort scoring</w:t>
            </w:r>
          </w:p>
        </w:tc>
        <w:tc>
          <w:tcPr>
            <w:tcW w:type="dxa" w:w="1419"/>
          </w:tcPr>
          <w:p>
            <w:r/>
            <w:r>
              <w:rPr>
                <w:rFonts w:ascii="Times New Roman" w:hAnsi="Times New Roman"/>
                <w:sz w:val="20"/>
              </w:rPr>
              <w:t>Very small cohort; limited metadata harmonization</w:t>
            </w:r>
          </w:p>
        </w:tc>
      </w:tr>
      <w:tr>
        <w:tc>
          <w:tcPr>
            <w:tcW w:type="dxa" w:w="1419"/>
          </w:tcPr>
          <w:p>
            <w:r/>
            <w:r>
              <w:rPr>
                <w:rFonts w:ascii="Times New Roman" w:hAnsi="Times New Roman"/>
                <w:sz w:val="20"/>
              </w:rPr>
              <w:t>GSE178535</w:t>
            </w:r>
          </w:p>
        </w:tc>
        <w:tc>
          <w:tcPr>
            <w:tcW w:type="dxa" w:w="1419"/>
          </w:tcPr>
          <w:p>
            <w:r/>
            <w:r>
              <w:rPr>
                <w:rFonts w:ascii="Times New Roman" w:hAnsi="Times New Roman"/>
                <w:sz w:val="20"/>
              </w:rPr>
              <w:t>Bulk transcriptomic processed expression</w:t>
            </w:r>
          </w:p>
        </w:tc>
        <w:tc>
          <w:tcPr>
            <w:tcW w:type="dxa" w:w="1419"/>
          </w:tcPr>
          <w:p>
            <w:r/>
            <w:r>
              <w:rPr>
                <w:rFonts w:ascii="Times New Roman" w:hAnsi="Times New Roman"/>
                <w:sz w:val="20"/>
              </w:rPr>
              <w:t>Decidua</w:t>
            </w:r>
          </w:p>
        </w:tc>
        <w:tc>
          <w:tcPr>
            <w:tcW w:type="dxa" w:w="1419"/>
          </w:tcPr>
          <w:p>
            <w:r/>
            <w:r>
              <w:rPr>
                <w:rFonts w:ascii="Times New Roman" w:hAnsi="Times New Roman"/>
                <w:sz w:val="20"/>
              </w:rPr>
              <w:t>Control and RSA</w:t>
            </w:r>
          </w:p>
        </w:tc>
        <w:tc>
          <w:tcPr>
            <w:tcW w:type="dxa" w:w="1419"/>
          </w:tcPr>
          <w:p>
            <w:r/>
            <w:r>
              <w:rPr>
                <w:rFonts w:ascii="Times New Roman" w:hAnsi="Times New Roman"/>
                <w:sz w:val="20"/>
              </w:rPr>
              <w:t>External bulk projection cohort</w:t>
            </w:r>
          </w:p>
        </w:tc>
        <w:tc>
          <w:tcPr>
            <w:tcW w:type="dxa" w:w="1419"/>
          </w:tcPr>
          <w:p>
            <w:r/>
            <w:r>
              <w:rPr>
                <w:rFonts w:ascii="Times New Roman" w:hAnsi="Times New Roman"/>
                <w:sz w:val="20"/>
              </w:rPr>
              <w:t>Public normalized log2 matrix used; sample labels curated; within-cohort scoring</w:t>
            </w:r>
          </w:p>
        </w:tc>
        <w:tc>
          <w:tcPr>
            <w:tcW w:type="dxa" w:w="1419"/>
          </w:tcPr>
          <w:p>
            <w:r/>
            <w:r>
              <w:rPr>
                <w:rFonts w:ascii="Times New Roman" w:hAnsi="Times New Roman"/>
                <w:sz w:val="20"/>
              </w:rPr>
              <w:t>Very small cohort; platform/preprocessing differences</w:t>
            </w:r>
          </w:p>
        </w:tc>
      </w:tr>
    </w:tbl>
    <w:p/>
    <w:p>
      <w:pPr>
        <w:pStyle w:val="Heading2"/>
      </w:pPr>
      <w:r>
        <w:t>Table 2. GSE214607-derived projection-ready signatures</w:t>
      </w:r>
    </w:p>
    <w:tbl>
      <w:tblPr>
        <w:tblStyle w:val="TableGrid"/>
        <w:tblW w:type="auto" w:w="0"/>
        <w:tblLook w:firstColumn="1" w:firstRow="1" w:lastColumn="0" w:lastRow="0" w:noHBand="0" w:noVBand="1" w:val="04A0"/>
      </w:tblPr>
      <w:tblGrid>
        <w:gridCol w:w="1656"/>
        <w:gridCol w:w="1656"/>
        <w:gridCol w:w="1656"/>
        <w:gridCol w:w="1656"/>
        <w:gridCol w:w="1656"/>
        <w:gridCol w:w="1656"/>
      </w:tblGrid>
      <w:tr>
        <w:trPr>
          <w:tblHeader w:val="true"/>
        </w:trPr>
        <w:tc>
          <w:tcPr>
            <w:tcW w:type="dxa" w:w="1656"/>
          </w:tcPr>
          <w:p>
            <w:r>
              <w:rPr>
                <w:b/>
              </w:rPr>
            </w:r>
            <w:r>
              <w:rPr>
                <w:rFonts w:ascii="Times New Roman" w:hAnsi="Times New Roman"/>
                <w:b/>
                <w:sz w:val="20"/>
              </w:rPr>
              <w:t>Programme ID</w:t>
            </w:r>
          </w:p>
        </w:tc>
        <w:tc>
          <w:tcPr>
            <w:tcW w:type="dxa" w:w="1656"/>
          </w:tcPr>
          <w:p>
            <w:r>
              <w:rPr>
                <w:b/>
              </w:rPr>
            </w:r>
            <w:r>
              <w:rPr>
                <w:rFonts w:ascii="Times New Roman" w:hAnsi="Times New Roman"/>
                <w:b/>
                <w:sz w:val="20"/>
              </w:rPr>
              <w:t>Short label</w:t>
            </w:r>
          </w:p>
        </w:tc>
        <w:tc>
          <w:tcPr>
            <w:tcW w:type="dxa" w:w="1656"/>
          </w:tcPr>
          <w:p>
            <w:r>
              <w:rPr>
                <w:b/>
              </w:rPr>
            </w:r>
            <w:r>
              <w:rPr>
                <w:rFonts w:ascii="Times New Roman" w:hAnsi="Times New Roman"/>
                <w:b/>
                <w:sz w:val="20"/>
              </w:rPr>
              <w:t>Source contrast</w:t>
            </w:r>
          </w:p>
        </w:tc>
        <w:tc>
          <w:tcPr>
            <w:tcW w:type="dxa" w:w="1656"/>
          </w:tcPr>
          <w:p>
            <w:r>
              <w:rPr>
                <w:b/>
              </w:rPr>
            </w:r>
            <w:r>
              <w:rPr>
                <w:rFonts w:ascii="Times New Roman" w:hAnsi="Times New Roman"/>
                <w:b/>
                <w:sz w:val="20"/>
              </w:rPr>
              <w:t>Number of genes</w:t>
            </w:r>
          </w:p>
        </w:tc>
        <w:tc>
          <w:tcPr>
            <w:tcW w:type="dxa" w:w="1656"/>
          </w:tcPr>
          <w:p>
            <w:r>
              <w:rPr>
                <w:b/>
              </w:rPr>
            </w:r>
            <w:r>
              <w:rPr>
                <w:rFonts w:ascii="Times New Roman" w:hAnsi="Times New Roman"/>
                <w:b/>
                <w:sz w:val="20"/>
              </w:rPr>
              <w:t>Biological interpretation</w:t>
            </w:r>
          </w:p>
        </w:tc>
        <w:tc>
          <w:tcPr>
            <w:tcW w:type="dxa" w:w="1656"/>
          </w:tcPr>
          <w:p>
            <w:r>
              <w:rPr>
                <w:b/>
              </w:rPr>
            </w:r>
            <w:r>
              <w:rPr>
                <w:rFonts w:ascii="Times New Roman" w:hAnsi="Times New Roman"/>
                <w:b/>
                <w:sz w:val="20"/>
              </w:rPr>
              <w:t>Use in analysis</w:t>
            </w:r>
          </w:p>
        </w:tc>
      </w:tr>
      <w:tr>
        <w:tc>
          <w:tcPr>
            <w:tcW w:type="dxa" w:w="1656"/>
          </w:tcPr>
          <w:p>
            <w:r/>
            <w:r>
              <w:rPr>
                <w:rFonts w:ascii="Times New Roman" w:hAnsi="Times New Roman"/>
                <w:sz w:val="20"/>
              </w:rPr>
              <w:t>GSE214607_RM_decidua_inflammatory_macrophage_APC_up</w:t>
            </w:r>
          </w:p>
        </w:tc>
        <w:tc>
          <w:tcPr>
            <w:tcW w:type="dxa" w:w="1656"/>
          </w:tcPr>
          <w:p>
            <w:r/>
            <w:r>
              <w:rPr>
                <w:rFonts w:ascii="Times New Roman" w:hAnsi="Times New Roman"/>
                <w:sz w:val="20"/>
              </w:rPr>
              <w:t>RM decidua inflammatory macrophage/APC up</w:t>
            </w:r>
          </w:p>
        </w:tc>
        <w:tc>
          <w:tcPr>
            <w:tcW w:type="dxa" w:w="1656"/>
          </w:tcPr>
          <w:p>
            <w:r/>
            <w:r>
              <w:rPr>
                <w:rFonts w:ascii="Times New Roman" w:hAnsi="Times New Roman"/>
                <w:sz w:val="20"/>
              </w:rPr>
              <w:t>RM decidua vs control decidua</w:t>
            </w:r>
          </w:p>
        </w:tc>
        <w:tc>
          <w:tcPr>
            <w:tcW w:type="dxa" w:w="1656"/>
          </w:tcPr>
          <w:p>
            <w:r/>
            <w:r>
              <w:rPr>
                <w:rFonts w:ascii="Times New Roman" w:hAnsi="Times New Roman"/>
                <w:sz w:val="20"/>
              </w:rPr>
              <w:t>30</w:t>
            </w:r>
          </w:p>
        </w:tc>
        <w:tc>
          <w:tcPr>
            <w:tcW w:type="dxa" w:w="1656"/>
          </w:tcPr>
          <w:p>
            <w:r/>
            <w:r>
              <w:rPr>
                <w:rFonts w:ascii="Times New Roman" w:hAnsi="Times New Roman"/>
                <w:sz w:val="20"/>
              </w:rPr>
              <w:t>Antigen-presentation, inflammatory myeloid and complement-associated macrophage/APC tissue-state programme</w:t>
            </w:r>
          </w:p>
        </w:tc>
        <w:tc>
          <w:tcPr>
            <w:tcW w:type="dxa" w:w="1656"/>
          </w:tcPr>
          <w:p>
            <w:r/>
            <w:r>
              <w:rPr>
                <w:rFonts w:ascii="Times New Roman" w:hAnsi="Times New Roman"/>
                <w:sz w:val="20"/>
              </w:rPr>
              <w:t>Primary programme</w:t>
            </w:r>
          </w:p>
        </w:tc>
      </w:tr>
      <w:tr>
        <w:tc>
          <w:tcPr>
            <w:tcW w:type="dxa" w:w="1656"/>
          </w:tcPr>
          <w:p>
            <w:r/>
            <w:r>
              <w:rPr>
                <w:rFonts w:ascii="Times New Roman" w:hAnsi="Times New Roman"/>
                <w:sz w:val="20"/>
              </w:rPr>
              <w:t>GSE214607_decidua_immune_stromal_identity_up</w:t>
            </w:r>
          </w:p>
        </w:tc>
        <w:tc>
          <w:tcPr>
            <w:tcW w:type="dxa" w:w="1656"/>
          </w:tcPr>
          <w:p>
            <w:r/>
            <w:r>
              <w:rPr>
                <w:rFonts w:ascii="Times New Roman" w:hAnsi="Times New Roman"/>
                <w:sz w:val="20"/>
              </w:rPr>
              <w:t>Decidua immune-stromal identity</w:t>
            </w:r>
          </w:p>
        </w:tc>
        <w:tc>
          <w:tcPr>
            <w:tcW w:type="dxa" w:w="1656"/>
          </w:tcPr>
          <w:p>
            <w:r/>
            <w:r>
              <w:rPr>
                <w:rFonts w:ascii="Times New Roman" w:hAnsi="Times New Roman"/>
                <w:sz w:val="20"/>
              </w:rPr>
              <w:t>Decidua vs villi</w:t>
            </w:r>
          </w:p>
        </w:tc>
        <w:tc>
          <w:tcPr>
            <w:tcW w:type="dxa" w:w="1656"/>
          </w:tcPr>
          <w:p>
            <w:r/>
            <w:r>
              <w:rPr>
                <w:rFonts w:ascii="Times New Roman" w:hAnsi="Times New Roman"/>
                <w:sz w:val="20"/>
              </w:rPr>
              <w:t>30</w:t>
            </w:r>
          </w:p>
        </w:tc>
        <w:tc>
          <w:tcPr>
            <w:tcW w:type="dxa" w:w="1656"/>
          </w:tcPr>
          <w:p>
            <w:r/>
            <w:r>
              <w:rPr>
                <w:rFonts w:ascii="Times New Roman" w:hAnsi="Times New Roman"/>
                <w:sz w:val="20"/>
              </w:rPr>
              <w:t>Decidua-enriched immune and stromal tissue-context programme</w:t>
            </w:r>
          </w:p>
        </w:tc>
        <w:tc>
          <w:tcPr>
            <w:tcW w:type="dxa" w:w="1656"/>
          </w:tcPr>
          <w:p>
            <w:r/>
            <w:r>
              <w:rPr>
                <w:rFonts w:ascii="Times New Roman" w:hAnsi="Times New Roman"/>
                <w:sz w:val="20"/>
              </w:rPr>
              <w:t>Secondary comparator</w:t>
            </w:r>
          </w:p>
        </w:tc>
      </w:tr>
      <w:tr>
        <w:tc>
          <w:tcPr>
            <w:tcW w:type="dxa" w:w="1656"/>
          </w:tcPr>
          <w:p>
            <w:r/>
            <w:r>
              <w:rPr>
                <w:rFonts w:ascii="Times New Roman" w:hAnsi="Times New Roman"/>
                <w:sz w:val="20"/>
              </w:rPr>
              <w:t>GSE214607_villi_trophoblast_epithelial_identity_up</w:t>
            </w:r>
          </w:p>
        </w:tc>
        <w:tc>
          <w:tcPr>
            <w:tcW w:type="dxa" w:w="1656"/>
          </w:tcPr>
          <w:p>
            <w:r/>
            <w:r>
              <w:rPr>
                <w:rFonts w:ascii="Times New Roman" w:hAnsi="Times New Roman"/>
                <w:sz w:val="20"/>
              </w:rPr>
              <w:t>Villi trophoblast/epithelial identity</w:t>
            </w:r>
          </w:p>
        </w:tc>
        <w:tc>
          <w:tcPr>
            <w:tcW w:type="dxa" w:w="1656"/>
          </w:tcPr>
          <w:p>
            <w:r/>
            <w:r>
              <w:rPr>
                <w:rFonts w:ascii="Times New Roman" w:hAnsi="Times New Roman"/>
                <w:sz w:val="20"/>
              </w:rPr>
              <w:t>Villi vs decidua</w:t>
            </w:r>
          </w:p>
        </w:tc>
        <w:tc>
          <w:tcPr>
            <w:tcW w:type="dxa" w:w="1656"/>
          </w:tcPr>
          <w:p>
            <w:r/>
            <w:r>
              <w:rPr>
                <w:rFonts w:ascii="Times New Roman" w:hAnsi="Times New Roman"/>
                <w:sz w:val="20"/>
              </w:rPr>
              <w:t>30</w:t>
            </w:r>
          </w:p>
        </w:tc>
        <w:tc>
          <w:tcPr>
            <w:tcW w:type="dxa" w:w="1656"/>
          </w:tcPr>
          <w:p>
            <w:r/>
            <w:r>
              <w:rPr>
                <w:rFonts w:ascii="Times New Roman" w:hAnsi="Times New Roman"/>
                <w:sz w:val="20"/>
              </w:rPr>
              <w:t>Villi/trophoblast/epithelial tissue-context programme</w:t>
            </w:r>
          </w:p>
        </w:tc>
        <w:tc>
          <w:tcPr>
            <w:tcW w:type="dxa" w:w="1656"/>
          </w:tcPr>
          <w:p>
            <w:r/>
            <w:r>
              <w:rPr>
                <w:rFonts w:ascii="Times New Roman" w:hAnsi="Times New Roman"/>
                <w:sz w:val="20"/>
              </w:rPr>
              <w:t>Tissue-context comparator</w:t>
            </w:r>
          </w:p>
        </w:tc>
      </w:tr>
      <w:tr>
        <w:tc>
          <w:tcPr>
            <w:tcW w:type="dxa" w:w="1656"/>
          </w:tcPr>
          <w:p>
            <w:r/>
            <w:r>
              <w:rPr>
                <w:rFonts w:ascii="Times New Roman" w:hAnsi="Times New Roman"/>
                <w:sz w:val="20"/>
              </w:rPr>
              <w:t>GSE214607_RM_villi_structural_trophoblast_down</w:t>
            </w:r>
          </w:p>
        </w:tc>
        <w:tc>
          <w:tcPr>
            <w:tcW w:type="dxa" w:w="1656"/>
          </w:tcPr>
          <w:p>
            <w:r/>
            <w:r>
              <w:rPr>
                <w:rFonts w:ascii="Times New Roman" w:hAnsi="Times New Roman"/>
                <w:sz w:val="20"/>
              </w:rPr>
              <w:t>RM villi structural/trophoblast programme</w:t>
            </w:r>
          </w:p>
        </w:tc>
        <w:tc>
          <w:tcPr>
            <w:tcW w:type="dxa" w:w="1656"/>
          </w:tcPr>
          <w:p>
            <w:r/>
            <w:r>
              <w:rPr>
                <w:rFonts w:ascii="Times New Roman" w:hAnsi="Times New Roman"/>
                <w:sz w:val="20"/>
              </w:rPr>
              <w:t>RM villi vs control villi</w:t>
            </w:r>
          </w:p>
        </w:tc>
        <w:tc>
          <w:tcPr>
            <w:tcW w:type="dxa" w:w="1656"/>
          </w:tcPr>
          <w:p>
            <w:r/>
            <w:r>
              <w:rPr>
                <w:rFonts w:ascii="Times New Roman" w:hAnsi="Times New Roman"/>
                <w:sz w:val="20"/>
              </w:rPr>
              <w:t>30</w:t>
            </w:r>
          </w:p>
        </w:tc>
        <w:tc>
          <w:tcPr>
            <w:tcW w:type="dxa" w:w="1656"/>
          </w:tcPr>
          <w:p>
            <w:r/>
            <w:r>
              <w:rPr>
                <w:rFonts w:ascii="Times New Roman" w:hAnsi="Times New Roman"/>
                <w:sz w:val="20"/>
              </w:rPr>
              <w:t>Villi structural/trophoblast-associated programme</w:t>
            </w:r>
          </w:p>
        </w:tc>
        <w:tc>
          <w:tcPr>
            <w:tcW w:type="dxa" w:w="1656"/>
          </w:tcPr>
          <w:p>
            <w:r/>
            <w:r>
              <w:rPr>
                <w:rFonts w:ascii="Times New Roman" w:hAnsi="Times New Roman"/>
                <w:sz w:val="20"/>
              </w:rPr>
              <w:t>Secondary tissue-context comparator</w:t>
            </w:r>
          </w:p>
        </w:tc>
      </w:tr>
    </w:tbl>
    <w:p/>
    <w:p>
      <w:pPr>
        <w:pStyle w:val="Heading2"/>
      </w:pPr>
      <w:r>
        <w:t>Table 3. Three-cohort transportability summary</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tcPr>
          <w:p>
            <w:r>
              <w:rPr>
                <w:b/>
              </w:rPr>
            </w:r>
            <w:r>
              <w:rPr>
                <w:rFonts w:ascii="Times New Roman" w:hAnsi="Times New Roman"/>
                <w:b/>
                <w:sz w:val="20"/>
              </w:rPr>
              <w:t>Programme</w:t>
            </w:r>
          </w:p>
        </w:tc>
        <w:tc>
          <w:tcPr>
            <w:tcW w:type="dxa" w:w="1419"/>
          </w:tcPr>
          <w:p>
            <w:r>
              <w:rPr>
                <w:b/>
              </w:rPr>
            </w:r>
            <w:r>
              <w:rPr>
                <w:rFonts w:ascii="Times New Roman" w:hAnsi="Times New Roman"/>
                <w:b/>
                <w:sz w:val="20"/>
              </w:rPr>
              <w:t>GSE161969 delta</w:t>
            </w:r>
          </w:p>
        </w:tc>
        <w:tc>
          <w:tcPr>
            <w:tcW w:type="dxa" w:w="1419"/>
          </w:tcPr>
          <w:p>
            <w:r>
              <w:rPr>
                <w:b/>
              </w:rPr>
            </w:r>
            <w:r>
              <w:rPr>
                <w:rFonts w:ascii="Times New Roman" w:hAnsi="Times New Roman"/>
                <w:b/>
                <w:sz w:val="20"/>
              </w:rPr>
              <w:t>GSE113790 delta</w:t>
            </w:r>
          </w:p>
        </w:tc>
        <w:tc>
          <w:tcPr>
            <w:tcW w:type="dxa" w:w="1419"/>
          </w:tcPr>
          <w:p>
            <w:r>
              <w:rPr>
                <w:b/>
              </w:rPr>
            </w:r>
            <w:r>
              <w:rPr>
                <w:rFonts w:ascii="Times New Roman" w:hAnsi="Times New Roman"/>
                <w:b/>
                <w:sz w:val="20"/>
              </w:rPr>
              <w:t>GSE178535 delta</w:t>
            </w:r>
          </w:p>
        </w:tc>
        <w:tc>
          <w:tcPr>
            <w:tcW w:type="dxa" w:w="1419"/>
          </w:tcPr>
          <w:p>
            <w:r>
              <w:rPr>
                <w:b/>
              </w:rPr>
            </w:r>
            <w:r>
              <w:rPr>
                <w:rFonts w:ascii="Times New Roman" w:hAnsi="Times New Roman"/>
                <w:b/>
                <w:sz w:val="20"/>
              </w:rPr>
              <w:t>Positive cohorts</w:t>
            </w:r>
          </w:p>
        </w:tc>
        <w:tc>
          <w:tcPr>
            <w:tcW w:type="dxa" w:w="1419"/>
          </w:tcPr>
          <w:p>
            <w:r>
              <w:rPr>
                <w:b/>
              </w:rPr>
            </w:r>
            <w:r>
              <w:rPr>
                <w:rFonts w:ascii="Times New Roman" w:hAnsi="Times New Roman"/>
                <w:b/>
                <w:sz w:val="20"/>
              </w:rPr>
              <w:t>Minimum coverage</w:t>
            </w:r>
          </w:p>
        </w:tc>
        <w:tc>
          <w:tcPr>
            <w:tcW w:type="dxa" w:w="1419"/>
          </w:tcPr>
          <w:p>
            <w:r>
              <w:rPr>
                <w:b/>
              </w:rPr>
            </w:r>
            <w:r>
              <w:rPr>
                <w:rFonts w:ascii="Times New Roman" w:hAnsi="Times New Roman"/>
                <w:b/>
                <w:sz w:val="20"/>
              </w:rPr>
              <w:t>Concordance interpretation</w:t>
            </w:r>
          </w:p>
        </w:tc>
      </w:tr>
      <w:tr>
        <w:tc>
          <w:tcPr>
            <w:tcW w:type="dxa" w:w="1419"/>
          </w:tcPr>
          <w:p>
            <w:r/>
            <w:r>
              <w:rPr>
                <w:rFonts w:ascii="Times New Roman" w:hAnsi="Times New Roman"/>
                <w:sz w:val="20"/>
              </w:rPr>
              <w:t>RM decidua inflammatory macrophage/APC up</w:t>
            </w:r>
          </w:p>
        </w:tc>
        <w:tc>
          <w:tcPr>
            <w:tcW w:type="dxa" w:w="1419"/>
          </w:tcPr>
          <w:p>
            <w:r/>
            <w:r>
              <w:rPr>
                <w:rFonts w:ascii="Times New Roman" w:hAnsi="Times New Roman"/>
                <w:sz w:val="20"/>
              </w:rPr>
              <w:t>+1.019</w:t>
            </w:r>
          </w:p>
        </w:tc>
        <w:tc>
          <w:tcPr>
            <w:tcW w:type="dxa" w:w="1419"/>
          </w:tcPr>
          <w:p>
            <w:r/>
            <w:r>
              <w:rPr>
                <w:rFonts w:ascii="Times New Roman" w:hAnsi="Times New Roman"/>
                <w:sz w:val="20"/>
              </w:rPr>
              <w:t>+0.282</w:t>
            </w:r>
          </w:p>
        </w:tc>
        <w:tc>
          <w:tcPr>
            <w:tcW w:type="dxa" w:w="1419"/>
          </w:tcPr>
          <w:p>
            <w:r/>
            <w:r>
              <w:rPr>
                <w:rFonts w:ascii="Times New Roman" w:hAnsi="Times New Roman"/>
                <w:sz w:val="20"/>
              </w:rPr>
              <w:t>+0.941</w:t>
            </w:r>
          </w:p>
        </w:tc>
        <w:tc>
          <w:tcPr>
            <w:tcW w:type="dxa" w:w="1419"/>
          </w:tcPr>
          <w:p>
            <w:r/>
            <w:r>
              <w:rPr>
                <w:rFonts w:ascii="Times New Roman" w:hAnsi="Times New Roman"/>
                <w:sz w:val="20"/>
              </w:rPr>
              <w:t>3/3</w:t>
            </w:r>
          </w:p>
        </w:tc>
        <w:tc>
          <w:tcPr>
            <w:tcW w:type="dxa" w:w="1419"/>
          </w:tcPr>
          <w:p>
            <w:r/>
            <w:r>
              <w:rPr>
                <w:rFonts w:ascii="Times New Roman" w:hAnsi="Times New Roman"/>
                <w:sz w:val="20"/>
              </w:rPr>
              <w:t>100%</w:t>
            </w:r>
          </w:p>
        </w:tc>
        <w:tc>
          <w:tcPr>
            <w:tcW w:type="dxa" w:w="1419"/>
          </w:tcPr>
          <w:p>
            <w:r/>
            <w:r>
              <w:rPr>
                <w:rFonts w:ascii="Times New Roman" w:hAnsi="Times New Roman"/>
                <w:sz w:val="20"/>
              </w:rPr>
              <w:t>Concordant positive directional signal</w:t>
            </w:r>
          </w:p>
        </w:tc>
      </w:tr>
      <w:tr>
        <w:tc>
          <w:tcPr>
            <w:tcW w:type="dxa" w:w="1419"/>
          </w:tcPr>
          <w:p>
            <w:r/>
            <w:r>
              <w:rPr>
                <w:rFonts w:ascii="Times New Roman" w:hAnsi="Times New Roman"/>
                <w:sz w:val="20"/>
              </w:rPr>
              <w:t>Decidua immune-stromal identity</w:t>
            </w:r>
          </w:p>
        </w:tc>
        <w:tc>
          <w:tcPr>
            <w:tcW w:type="dxa" w:w="1419"/>
          </w:tcPr>
          <w:p>
            <w:r/>
            <w:r>
              <w:rPr>
                <w:rFonts w:ascii="Times New Roman" w:hAnsi="Times New Roman"/>
                <w:sz w:val="20"/>
              </w:rPr>
              <w:t>+0.573</w:t>
            </w:r>
          </w:p>
        </w:tc>
        <w:tc>
          <w:tcPr>
            <w:tcW w:type="dxa" w:w="1419"/>
          </w:tcPr>
          <w:p>
            <w:r/>
            <w:r>
              <w:rPr>
                <w:rFonts w:ascii="Times New Roman" w:hAnsi="Times New Roman"/>
                <w:sz w:val="20"/>
              </w:rPr>
              <w:t>+0.206</w:t>
            </w:r>
          </w:p>
        </w:tc>
        <w:tc>
          <w:tcPr>
            <w:tcW w:type="dxa" w:w="1419"/>
          </w:tcPr>
          <w:p>
            <w:r/>
            <w:r>
              <w:rPr>
                <w:rFonts w:ascii="Times New Roman" w:hAnsi="Times New Roman"/>
                <w:sz w:val="20"/>
              </w:rPr>
              <w:t>+0.031</w:t>
            </w:r>
          </w:p>
        </w:tc>
        <w:tc>
          <w:tcPr>
            <w:tcW w:type="dxa" w:w="1419"/>
          </w:tcPr>
          <w:p>
            <w:r/>
            <w:r>
              <w:rPr>
                <w:rFonts w:ascii="Times New Roman" w:hAnsi="Times New Roman"/>
                <w:sz w:val="20"/>
              </w:rPr>
              <w:t>3/3</w:t>
            </w:r>
          </w:p>
        </w:tc>
        <w:tc>
          <w:tcPr>
            <w:tcW w:type="dxa" w:w="1419"/>
          </w:tcPr>
          <w:p>
            <w:r/>
            <w:r>
              <w:rPr>
                <w:rFonts w:ascii="Times New Roman" w:hAnsi="Times New Roman"/>
                <w:sz w:val="20"/>
              </w:rPr>
              <w:t>96.7%</w:t>
            </w:r>
          </w:p>
        </w:tc>
        <w:tc>
          <w:tcPr>
            <w:tcW w:type="dxa" w:w="1419"/>
          </w:tcPr>
          <w:p>
            <w:r/>
            <w:r>
              <w:rPr>
                <w:rFonts w:ascii="Times New Roman" w:hAnsi="Times New Roman"/>
                <w:sz w:val="20"/>
              </w:rPr>
              <w:t>Positive but weaker/context-dependent</w:t>
            </w:r>
          </w:p>
        </w:tc>
      </w:tr>
      <w:tr>
        <w:tc>
          <w:tcPr>
            <w:tcW w:type="dxa" w:w="1419"/>
          </w:tcPr>
          <w:p>
            <w:r/>
            <w:r>
              <w:rPr>
                <w:rFonts w:ascii="Times New Roman" w:hAnsi="Times New Roman"/>
                <w:sz w:val="20"/>
              </w:rPr>
              <w:t>Villi trophoblast/epithelial identity</w:t>
            </w:r>
          </w:p>
        </w:tc>
        <w:tc>
          <w:tcPr>
            <w:tcW w:type="dxa" w:w="1419"/>
          </w:tcPr>
          <w:p>
            <w:r/>
            <w:r>
              <w:rPr>
                <w:rFonts w:ascii="Times New Roman" w:hAnsi="Times New Roman"/>
                <w:sz w:val="20"/>
              </w:rPr>
              <w:t>+0.134</w:t>
            </w:r>
          </w:p>
        </w:tc>
        <w:tc>
          <w:tcPr>
            <w:tcW w:type="dxa" w:w="1419"/>
          </w:tcPr>
          <w:p>
            <w:r/>
            <w:r>
              <w:rPr>
                <w:rFonts w:ascii="Times New Roman" w:hAnsi="Times New Roman"/>
                <w:sz w:val="20"/>
              </w:rPr>
              <w:t>+0.406</w:t>
            </w:r>
          </w:p>
        </w:tc>
        <w:tc>
          <w:tcPr>
            <w:tcW w:type="dxa" w:w="1419"/>
          </w:tcPr>
          <w:p>
            <w:r/>
            <w:r>
              <w:rPr>
                <w:rFonts w:ascii="Times New Roman" w:hAnsi="Times New Roman"/>
                <w:sz w:val="20"/>
              </w:rPr>
              <w:t>+0.156</w:t>
            </w:r>
          </w:p>
        </w:tc>
        <w:tc>
          <w:tcPr>
            <w:tcW w:type="dxa" w:w="1419"/>
          </w:tcPr>
          <w:p>
            <w:r/>
            <w:r>
              <w:rPr>
                <w:rFonts w:ascii="Times New Roman" w:hAnsi="Times New Roman"/>
                <w:sz w:val="20"/>
              </w:rPr>
              <w:t>3/3</w:t>
            </w:r>
          </w:p>
        </w:tc>
        <w:tc>
          <w:tcPr>
            <w:tcW w:type="dxa" w:w="1419"/>
          </w:tcPr>
          <w:p>
            <w:r/>
            <w:r>
              <w:rPr>
                <w:rFonts w:ascii="Times New Roman" w:hAnsi="Times New Roman"/>
                <w:sz w:val="20"/>
              </w:rPr>
              <w:t>100%</w:t>
            </w:r>
          </w:p>
        </w:tc>
        <w:tc>
          <w:tcPr>
            <w:tcW w:type="dxa" w:w="1419"/>
          </w:tcPr>
          <w:p>
            <w:r/>
            <w:r>
              <w:rPr>
                <w:rFonts w:ascii="Times New Roman" w:hAnsi="Times New Roman"/>
                <w:sz w:val="20"/>
              </w:rPr>
              <w:t>Modest positive but tissue-context dependent</w:t>
            </w:r>
          </w:p>
        </w:tc>
      </w:tr>
      <w:tr>
        <w:tc>
          <w:tcPr>
            <w:tcW w:type="dxa" w:w="1419"/>
          </w:tcPr>
          <w:p>
            <w:r/>
            <w:r>
              <w:rPr>
                <w:rFonts w:ascii="Times New Roman" w:hAnsi="Times New Roman"/>
                <w:sz w:val="20"/>
              </w:rPr>
              <w:t>RM villi structural/trophoblast programme</w:t>
            </w:r>
          </w:p>
        </w:tc>
        <w:tc>
          <w:tcPr>
            <w:tcW w:type="dxa" w:w="1419"/>
          </w:tcPr>
          <w:p>
            <w:r/>
            <w:r>
              <w:rPr>
                <w:rFonts w:ascii="Times New Roman" w:hAnsi="Times New Roman"/>
                <w:sz w:val="20"/>
              </w:rPr>
              <w:t>-0.097</w:t>
            </w:r>
          </w:p>
        </w:tc>
        <w:tc>
          <w:tcPr>
            <w:tcW w:type="dxa" w:w="1419"/>
          </w:tcPr>
          <w:p>
            <w:r/>
            <w:r>
              <w:rPr>
                <w:rFonts w:ascii="Times New Roman" w:hAnsi="Times New Roman"/>
                <w:sz w:val="20"/>
              </w:rPr>
              <w:t>+0.245</w:t>
            </w:r>
          </w:p>
        </w:tc>
        <w:tc>
          <w:tcPr>
            <w:tcW w:type="dxa" w:w="1419"/>
          </w:tcPr>
          <w:p>
            <w:r/>
            <w:r>
              <w:rPr>
                <w:rFonts w:ascii="Times New Roman" w:hAnsi="Times New Roman"/>
                <w:sz w:val="20"/>
              </w:rPr>
              <w:t>-0.007</w:t>
            </w:r>
          </w:p>
        </w:tc>
        <w:tc>
          <w:tcPr>
            <w:tcW w:type="dxa" w:w="1419"/>
          </w:tcPr>
          <w:p>
            <w:r/>
            <w:r>
              <w:rPr>
                <w:rFonts w:ascii="Times New Roman" w:hAnsi="Times New Roman"/>
                <w:sz w:val="20"/>
              </w:rPr>
              <w:t>1/3</w:t>
            </w:r>
          </w:p>
        </w:tc>
        <w:tc>
          <w:tcPr>
            <w:tcW w:type="dxa" w:w="1419"/>
          </w:tcPr>
          <w:p>
            <w:r/>
            <w:r>
              <w:rPr>
                <w:rFonts w:ascii="Times New Roman" w:hAnsi="Times New Roman"/>
                <w:sz w:val="20"/>
              </w:rPr>
              <w:t>96.7%</w:t>
            </w:r>
          </w:p>
        </w:tc>
        <w:tc>
          <w:tcPr>
            <w:tcW w:type="dxa" w:w="1419"/>
          </w:tcPr>
          <w:p>
            <w:r/>
            <w:r>
              <w:rPr>
                <w:rFonts w:ascii="Times New Roman" w:hAnsi="Times New Roman"/>
                <w:sz w:val="20"/>
              </w:rPr>
              <w:t>Mixed/weak; not transportable in decidua cohorts</w:t>
            </w:r>
          </w:p>
        </w:tc>
      </w:tr>
    </w:tbl>
    <w:p/>
    <w:p>
      <w:pPr>
        <w:pStyle w:val="Heading2"/>
      </w:pPr>
      <w:r>
        <w:t>Supplementary Table 1. Full projection-ready signature gene lists</w:t>
      </w:r>
    </w:p>
    <w:tbl>
      <w:tblPr>
        <w:tblStyle w:val="TableGrid"/>
        <w:tblW w:type="auto" w:w="0"/>
        <w:tblLook w:firstColumn="1" w:firstRow="1" w:lastColumn="0" w:lastRow="0" w:noHBand="0" w:noVBand="1" w:val="04A0"/>
      </w:tblPr>
      <w:tblGrid>
        <w:gridCol w:w="4968"/>
        <w:gridCol w:w="4968"/>
      </w:tblGrid>
      <w:tr>
        <w:trPr>
          <w:tblHeader w:val="true"/>
        </w:trPr>
        <w:tc>
          <w:tcPr>
            <w:tcW w:type="dxa" w:w="4968"/>
          </w:tcPr>
          <w:p>
            <w:r>
              <w:rPr>
                <w:b/>
              </w:rPr>
            </w:r>
            <w:r>
              <w:rPr>
                <w:rFonts w:ascii="Times New Roman" w:hAnsi="Times New Roman"/>
                <w:b/>
                <w:sz w:val="20"/>
              </w:rPr>
              <w:t>Programme ID</w:t>
            </w:r>
          </w:p>
        </w:tc>
        <w:tc>
          <w:tcPr>
            <w:tcW w:type="dxa" w:w="4968"/>
          </w:tcPr>
          <w:p>
            <w:r>
              <w:rPr>
                <w:b/>
              </w:rPr>
            </w:r>
            <w:r>
              <w:rPr>
                <w:rFonts w:ascii="Times New Roman" w:hAnsi="Times New Roman"/>
                <w:b/>
                <w:sz w:val="20"/>
              </w:rPr>
              <w:t>Genes</w:t>
            </w:r>
          </w:p>
        </w:tc>
      </w:tr>
      <w:tr>
        <w:tc>
          <w:tcPr>
            <w:tcW w:type="dxa" w:w="4968"/>
          </w:tcPr>
          <w:p>
            <w:r/>
            <w:r>
              <w:rPr>
                <w:rFonts w:ascii="Times New Roman" w:hAnsi="Times New Roman"/>
                <w:sz w:val="20"/>
              </w:rPr>
              <w:t>GSE214607_RM_decidua_inflammatory_macrophage_APC_up</w:t>
            </w:r>
          </w:p>
        </w:tc>
        <w:tc>
          <w:tcPr>
            <w:tcW w:type="dxa" w:w="4968"/>
          </w:tcPr>
          <w:p>
            <w:r/>
            <w:r>
              <w:rPr>
                <w:rFonts w:ascii="Times New Roman" w:hAnsi="Times New Roman"/>
                <w:sz w:val="20"/>
              </w:rPr>
              <w:t>FTL, CD74, FTH1, HLA-DRA, SNX3, FCGRT, HLA-DPA1, HMOX1, S100A9, SNX6, TMEM176B, CYBA, RNASET2, AIF1, HLA-DPB1, MS4A7, NPC2, C1QB, S100A8, ISCU, C1QC, C1QA, CTSZ, PLTP, RAB31, TMSB4X, TMBIM6, YWHAH, SPP1, GRN</w:t>
            </w:r>
          </w:p>
        </w:tc>
      </w:tr>
      <w:tr>
        <w:tc>
          <w:tcPr>
            <w:tcW w:type="dxa" w:w="4968"/>
          </w:tcPr>
          <w:p>
            <w:r/>
            <w:r>
              <w:rPr>
                <w:rFonts w:ascii="Times New Roman" w:hAnsi="Times New Roman"/>
                <w:sz w:val="20"/>
              </w:rPr>
              <w:t>GSE214607_decidua_immune_stromal_identity_up</w:t>
            </w:r>
          </w:p>
        </w:tc>
        <w:tc>
          <w:tcPr>
            <w:tcW w:type="dxa" w:w="4968"/>
          </w:tcPr>
          <w:p>
            <w:r/>
            <w:r>
              <w:rPr>
                <w:rFonts w:ascii="Times New Roman" w:hAnsi="Times New Roman"/>
                <w:sz w:val="20"/>
              </w:rPr>
              <w:t>GNLY, CST3, CFD, IGFBP2, NKG7, IGFBP7, DCN, PNRC1, LGALS1, IFITM2, EIF1, LUM, JUN, SOD2, ARL6IP4, CCL4, IGFBP1, H3F3B, RBP1, C11orf96, SELENOP, GZMA, IL32, AKAP13, ZFP36L2, JUNB, VCAN, MTDH, IGFBP4, KLF6</w:t>
            </w:r>
          </w:p>
        </w:tc>
      </w:tr>
      <w:tr>
        <w:tc>
          <w:tcPr>
            <w:tcW w:type="dxa" w:w="4968"/>
          </w:tcPr>
          <w:p>
            <w:r/>
            <w:r>
              <w:rPr>
                <w:rFonts w:ascii="Times New Roman" w:hAnsi="Times New Roman"/>
                <w:sz w:val="20"/>
              </w:rPr>
              <w:t>GSE214607_villi_trophoblast_epithelial_identity_up</w:t>
            </w:r>
          </w:p>
        </w:tc>
        <w:tc>
          <w:tcPr>
            <w:tcW w:type="dxa" w:w="4968"/>
          </w:tcPr>
          <w:p>
            <w:r/>
            <w:r>
              <w:rPr>
                <w:rFonts w:ascii="Times New Roman" w:hAnsi="Times New Roman"/>
                <w:sz w:val="20"/>
              </w:rPr>
              <w:t>CDKN1C, ANXA1, TFPI, DSP, S100A11, MGST3, EZR, KRT18, ARID3A, KRT19, H19, LY6E, SLC2A1, RALBP1, KRT8, HEBP2, C1QTNF6, ADM, CCT8, CLIC3, FSTL3, DSC2, HBZ, PERP, NUTF2, KRT7, VGLL3, RDX, SPINT2, GALNT1</w:t>
            </w:r>
          </w:p>
        </w:tc>
      </w:tr>
      <w:tr>
        <w:tc>
          <w:tcPr>
            <w:tcW w:type="dxa" w:w="4968"/>
          </w:tcPr>
          <w:p>
            <w:r/>
            <w:r>
              <w:rPr>
                <w:rFonts w:ascii="Times New Roman" w:hAnsi="Times New Roman"/>
                <w:sz w:val="20"/>
              </w:rPr>
              <w:t>GSE214607_RM_villi_structural_trophoblast_down</w:t>
            </w:r>
          </w:p>
        </w:tc>
        <w:tc>
          <w:tcPr>
            <w:tcW w:type="dxa" w:w="4968"/>
          </w:tcPr>
          <w:p>
            <w:r/>
            <w:r>
              <w:rPr>
                <w:rFonts w:ascii="Times New Roman" w:hAnsi="Times New Roman"/>
                <w:sz w:val="20"/>
              </w:rPr>
              <w:t>TFPI, CBX3, MT1E, COL4A1, FSTL3, SLC16A3, UBE2S, YWHAE, CDKN1C, COL21A1, RAN, LY6E, EVA1B, GCSH, LAIR2, OBSL1, LRRC59, LRRC32, HEBP2, CGB3, CALR, PCMT1, PIM3, SERPINB9, PROCR, UBE2F, HAPLN3, CCNB1, SLCO4A1, RANBP1</w:t>
            </w:r>
          </w:p>
        </w:tc>
      </w:tr>
    </w:tbl>
    <w:p/>
    <w:p>
      <w:pPr>
        <w:pStyle w:val="Heading2"/>
      </w:pPr>
      <w:r>
        <w:t>Supplementary Table 2. Cohort-specific projection scores</w:t>
      </w:r>
    </w:p>
    <w:p>
      <w:pPr>
        <w:jc w:val="left"/>
      </w:pPr>
      <w:r>
        <w:rPr>
          <w:rFonts w:ascii="Times New Roman" w:hAnsi="Times New Roman"/>
          <w:sz w:val="22"/>
        </w:rPr>
        <w:t>Full sample-level programme scores are provided in the following repository files:</w:t>
      </w:r>
    </w:p>
    <w:p>
      <w:pPr>
        <w:pStyle w:val="ListBullet"/>
      </w:pPr>
      <w:r>
        <w:rPr>
          <w:rFonts w:ascii="Times New Roman" w:hAnsi="Times New Roman"/>
          <w:sz w:val="22"/>
        </w:rPr>
        <w:t>`results/projection_scores/GSE161969_GSE214607_projection_scores_annotated.tsv`</w:t>
      </w:r>
    </w:p>
    <w:p>
      <w:pPr>
        <w:pStyle w:val="ListBullet"/>
      </w:pPr>
      <w:r>
        <w:rPr>
          <w:rFonts w:ascii="Times New Roman" w:hAnsi="Times New Roman"/>
          <w:sz w:val="22"/>
        </w:rPr>
        <w:t>`results/projection_scores/GSE113790_GSE214607_projection_scores_annotated.tsv`</w:t>
      </w:r>
    </w:p>
    <w:p>
      <w:pPr>
        <w:pStyle w:val="ListBullet"/>
      </w:pPr>
      <w:r>
        <w:rPr>
          <w:rFonts w:ascii="Times New Roman" w:hAnsi="Times New Roman"/>
          <w:sz w:val="22"/>
        </w:rPr>
        <w:t>`results/projection_scores/GSE178535_GSE214607_projection_scores_annotated.tsv`</w:t>
      </w:r>
    </w:p>
    <w:p>
      <w:pPr>
        <w:pStyle w:val="Heading2"/>
      </w:pPr>
      <w:r>
        <w:t>Supplementary Table 3. Metadata curation and label harmonization</w:t>
      </w:r>
    </w:p>
    <w:p>
      <w:pPr>
        <w:jc w:val="left"/>
      </w:pPr>
      <w:r>
        <w:rPr>
          <w:rFonts w:ascii="Times New Roman" w:hAnsi="Times New Roman"/>
          <w:sz w:val="22"/>
        </w:rPr>
        <w:t>Curated sample metadata and diagnostic-label harmonization are provided in the following repository files:</w:t>
      </w:r>
    </w:p>
    <w:p>
      <w:pPr>
        <w:pStyle w:val="ListBullet"/>
      </w:pPr>
      <w:r>
        <w:rPr>
          <w:rFonts w:ascii="Times New Roman" w:hAnsi="Times New Roman"/>
          <w:sz w:val="22"/>
        </w:rPr>
        <w:t>`results/qc/GSE161969_sample_metadata_curated.tsv`</w:t>
      </w:r>
    </w:p>
    <w:p>
      <w:pPr>
        <w:pStyle w:val="ListBullet"/>
      </w:pPr>
      <w:r>
        <w:rPr>
          <w:rFonts w:ascii="Times New Roman" w:hAnsi="Times New Roman"/>
          <w:sz w:val="22"/>
        </w:rPr>
        <w:t>`results/qc/second_bulk_candidates/GSE113790_sample_metadata_curated.tsv`</w:t>
      </w:r>
    </w:p>
    <w:p>
      <w:pPr>
        <w:pStyle w:val="ListBullet"/>
      </w:pPr>
      <w:r>
        <w:rPr>
          <w:rFonts w:ascii="Times New Roman" w:hAnsi="Times New Roman"/>
          <w:sz w:val="22"/>
        </w:rPr>
        <w:t>`results/qc/second_bulk_candidates/GSE178535_sample_metadata_curated.tsv`</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