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rFonts w:ascii="Times New Roman" w:hAnsi="Times New Roman"/>
        </w:rPr>
      </w:pPr>
      <w:r>
        <w:rPr>
          <w:rFonts w:eastAsia="Calibri" w:cs="Calibri"/>
          <w:b/>
          <w:bCs/>
          <w:color w:val="1F3864"/>
          <w:sz w:val="26"/>
          <w:szCs w:val="26"/>
        </w:rPr>
        <w:t>M.S. PROJECT PROPOSAL</w:t>
      </w:r>
    </w:p>
    <w:p>
      <w:pPr>
        <w:pStyle w:val="Normal"/>
        <w:spacing w:before="0" w:after="140"/>
        <w:jc w:val="center"/>
        <w:rPr>
          <w:rFonts w:ascii="Times New Roman" w:hAnsi="Times New Roman"/>
        </w:rPr>
      </w:pPr>
      <w:r>
        <w:rPr>
          <w:rFonts w:eastAsia="Calibri" w:cs="Calibri"/>
          <w:b/>
          <w:bCs/>
          <w:i/>
          <w:iCs/>
          <w:color w:val="213965"/>
          <w:sz w:val="22"/>
          <w:szCs w:val="22"/>
        </w:rPr>
        <w:t>“</w:t>
      </w:r>
      <w:r>
        <w:rPr>
          <w:rFonts w:eastAsia="Calibri" w:cs="Calibri"/>
          <w:b/>
          <w:bCs/>
          <w:i/>
          <w:iCs/>
          <w:color w:val="213965"/>
          <w:sz w:val="22"/>
          <w:szCs w:val="22"/>
        </w:rPr>
        <w:t>Determinants of Financial Worries in SAARC Countries: An Expanded Multinomial and Machine-Learning Approach with Country and Life-Cycle Effects”</w:t>
      </w:r>
    </w:p>
    <w:tbl>
      <w:tblPr>
        <w:tblW w:w="5000" w:type="pct"/>
        <w:jc w:val="start"/>
        <w:tblInd w:w="0" w:type="dxa"/>
        <w:tblLayout w:type="fixed"/>
        <w:tblCellMar>
          <w:top w:w="0" w:type="dxa"/>
          <w:start w:w="108" w:type="dxa"/>
          <w:bottom w:w="0" w:type="dxa"/>
          <w:end w:w="108" w:type="dxa"/>
        </w:tblCellMar>
      </w:tblPr>
      <w:tblGrid>
        <w:gridCol w:w="4859"/>
        <w:gridCol w:w="4861"/>
      </w:tblGrid>
      <w:tr>
        <w:trPr/>
        <w:tc>
          <w:tcPr>
            <w:tcW w:w="4859" w:type="dxa"/>
            <w:tcBorders/>
          </w:tcPr>
          <w:p>
            <w:pPr>
              <w:pStyle w:val="Normal"/>
              <w:spacing w:before="0" w:after="30"/>
              <w:rPr>
                <w:rFonts w:ascii="Times New Roman" w:hAnsi="Times New Roman"/>
              </w:rPr>
            </w:pPr>
            <w:r>
              <w:rPr>
                <w:rFonts w:eastAsia="Calibri" w:cs="Calibri"/>
                <w:b/>
                <w:bCs/>
                <w:sz w:val="20"/>
                <w:szCs w:val="20"/>
              </w:rPr>
              <w:t xml:space="preserve">Submitted By: </w:t>
            </w:r>
            <w:r>
              <w:rPr>
                <w:rFonts w:eastAsia="Calibri" w:cs="Calibri"/>
                <w:sz w:val="20"/>
                <w:szCs w:val="20"/>
              </w:rPr>
              <w:t>Md. Mahbub Rahman</w:t>
            </w:r>
          </w:p>
          <w:p>
            <w:pPr>
              <w:pStyle w:val="Normal"/>
              <w:spacing w:before="0" w:after="30"/>
              <w:rPr>
                <w:rFonts w:ascii="Times New Roman" w:hAnsi="Times New Roman"/>
              </w:rPr>
            </w:pPr>
            <w:r>
              <w:rPr>
                <w:rFonts w:eastAsia="Calibri" w:cs="Calibri"/>
                <w:b/>
                <w:bCs/>
                <w:sz w:val="20"/>
                <w:szCs w:val="20"/>
              </w:rPr>
              <w:t xml:space="preserve">Exam Roll / Reg. No.: </w:t>
            </w:r>
            <w:r>
              <w:rPr>
                <w:rFonts w:eastAsia="Calibri" w:cs="Calibri"/>
                <w:sz w:val="20"/>
                <w:szCs w:val="20"/>
              </w:rPr>
              <w:t>20204006</w:t>
            </w:r>
          </w:p>
          <w:p>
            <w:pPr>
              <w:pStyle w:val="Normal"/>
              <w:spacing w:before="0" w:after="30"/>
              <w:rPr>
                <w:rFonts w:ascii="Times New Roman" w:hAnsi="Times New Roman"/>
              </w:rPr>
            </w:pPr>
            <w:r>
              <w:rPr>
                <w:rFonts w:eastAsia="Calibri" w:cs="Calibri"/>
                <w:b/>
                <w:bCs/>
                <w:sz w:val="20"/>
                <w:szCs w:val="20"/>
              </w:rPr>
              <w:t xml:space="preserve">Session: </w:t>
            </w:r>
            <w:r>
              <w:rPr>
                <w:rFonts w:eastAsia="Calibri" w:cs="Calibri"/>
                <w:sz w:val="20"/>
                <w:szCs w:val="20"/>
              </w:rPr>
              <w:t>2023–2024</w:t>
            </w:r>
          </w:p>
          <w:p>
            <w:pPr>
              <w:pStyle w:val="Normal"/>
              <w:spacing w:before="0" w:after="30"/>
              <w:rPr>
                <w:rFonts w:ascii="Times New Roman" w:hAnsi="Times New Roman"/>
              </w:rPr>
            </w:pPr>
            <w:r>
              <w:rPr>
                <w:rFonts w:eastAsia="Calibri" w:cs="Calibri"/>
                <w:b/>
                <w:bCs/>
                <w:sz w:val="20"/>
                <w:szCs w:val="20"/>
              </w:rPr>
              <w:t xml:space="preserve">Program: </w:t>
            </w:r>
            <w:r>
              <w:rPr>
                <w:rFonts w:eastAsia="Calibri" w:cs="Calibri"/>
                <w:sz w:val="20"/>
                <w:szCs w:val="20"/>
              </w:rPr>
              <w:t>M.S. in Statistics, Dept. of Statistics, University of Chittagong</w:t>
            </w:r>
          </w:p>
        </w:tc>
        <w:tc>
          <w:tcPr>
            <w:tcW w:w="4861" w:type="dxa"/>
            <w:tcBorders/>
          </w:tcPr>
          <w:p>
            <w:pPr>
              <w:pStyle w:val="Normal"/>
              <w:spacing w:before="0" w:after="30"/>
              <w:rPr>
                <w:rFonts w:ascii="Times New Roman" w:hAnsi="Times New Roman"/>
              </w:rPr>
            </w:pPr>
            <w:r>
              <w:rPr>
                <w:rFonts w:eastAsia="Calibri" w:cs="Calibri"/>
                <w:b/>
                <w:bCs/>
                <w:sz w:val="20"/>
                <w:szCs w:val="20"/>
              </w:rPr>
              <w:t xml:space="preserve">Submitted To: </w:t>
            </w:r>
            <w:r>
              <w:rPr>
                <w:rFonts w:eastAsia="Calibri" w:cs="Calibri"/>
                <w:sz w:val="20"/>
                <w:szCs w:val="20"/>
              </w:rPr>
              <w:t>Professor Mr. Md. Monirul Islam</w:t>
            </w:r>
          </w:p>
          <w:p>
            <w:pPr>
              <w:pStyle w:val="Normal"/>
              <w:spacing w:before="0" w:after="30"/>
              <w:rPr>
                <w:rFonts w:ascii="Times New Roman" w:hAnsi="Times New Roman"/>
              </w:rPr>
            </w:pPr>
            <w:r>
              <w:rPr>
                <w:rFonts w:eastAsia="Calibri" w:cs="Calibri"/>
                <w:sz w:val="20"/>
                <w:szCs w:val="20"/>
              </w:rPr>
              <w:t>Department of Statistics, University of Chittagong</w:t>
            </w:r>
          </w:p>
          <w:p>
            <w:pPr>
              <w:pStyle w:val="Normal"/>
              <w:spacing w:before="0" w:after="30"/>
              <w:rPr>
                <w:rFonts w:ascii="Times New Roman" w:hAnsi="Times New Roman"/>
              </w:rPr>
            </w:pPr>
            <w:r>
              <w:rPr>
                <w:rFonts w:eastAsia="Calibri" w:cs="Calibri"/>
                <w:b/>
                <w:bCs/>
                <w:sz w:val="20"/>
                <w:szCs w:val="20"/>
              </w:rPr>
              <w:t xml:space="preserve">Date: </w:t>
            </w:r>
            <w:r>
              <w:rPr>
                <w:rFonts w:eastAsia="Calibri" w:cs="Calibri"/>
                <w:sz w:val="20"/>
                <w:szCs w:val="20"/>
              </w:rPr>
              <w:t>July, 2026</w:t>
            </w:r>
          </w:p>
        </w:tc>
      </w:tr>
    </w:tbl>
    <w:p>
      <w:pPr>
        <w:pStyle w:val="Normal"/>
        <w:spacing w:before="200" w:after="100"/>
        <w:rPr>
          <w:rFonts w:ascii="Times New Roman" w:hAnsi="Times New Roman"/>
        </w:rPr>
      </w:pPr>
      <w:r>
        <w:rPr>
          <w:rFonts w:eastAsia="Calibri" w:cs="Calibri"/>
          <w:b/>
          <w:bCs/>
          <w:sz w:val="20"/>
          <w:szCs w:val="20"/>
        </w:rPr>
        <w:t>Dear Sir,</w:t>
      </w:r>
    </w:p>
    <w:p>
      <w:pPr>
        <w:pStyle w:val="Normal"/>
        <w:spacing w:lineRule="auto" w:line="252" w:before="0" w:after="90"/>
        <w:jc w:val="both"/>
        <w:rPr>
          <w:rFonts w:ascii="Times New Roman" w:hAnsi="Times New Roman"/>
        </w:rPr>
      </w:pPr>
      <w:r>
        <w:rPr>
          <w:rFonts w:eastAsia="Calibri" w:cs="Calibri"/>
          <w:sz w:val="20"/>
          <w:szCs w:val="20"/>
        </w:rPr>
        <w:t>With due respect, I would like to submit the following proposal, titled above, for your kind review and approval, in partial fulfillment of the requirements for the degree of Master of Science (M.S.) in Statistics. I would be grateful for your guidance to proceed with this research under your supervision.</w:t>
      </w:r>
    </w:p>
    <w:p>
      <w:pPr>
        <w:pStyle w:val="Normal"/>
        <w:spacing w:before="60" w:after="0"/>
        <w:rPr>
          <w:rFonts w:ascii="Times New Roman" w:hAnsi="Times New Roman" w:eastAsia="Calibri" w:cs="Calibri"/>
          <w:sz w:val="20"/>
          <w:szCs w:val="20"/>
        </w:rPr>
      </w:pPr>
      <w:r>
        <w:rPr>
          <w:rFonts w:eastAsia="Calibri" w:cs="Calibri"/>
          <w:sz w:val="20"/>
          <w:szCs w:val="20"/>
        </w:rPr>
        <w:t>Yours sincerely</w:t>
      </w:r>
    </w:p>
    <w:p>
      <w:pPr>
        <w:pStyle w:val="Normal"/>
        <w:spacing w:before="60" w:after="0"/>
        <w:rPr>
          <w:rFonts w:ascii="Times New Roman" w:hAnsi="Times New Roman" w:eastAsia="Calibri" w:cs="Calibri"/>
          <w:sz w:val="20"/>
          <w:szCs w:val="20"/>
        </w:rPr>
      </w:pPr>
      <w:r>
        <w:rPr>
          <w:rFonts w:eastAsia="Calibri" w:cs="Calibri"/>
          <w:sz w:val="20"/>
          <w:szCs w:val="20"/>
        </w:rPr>
        <w:t>Md. Mahbub Rahman</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1. Introduction and Rationale</w:t>
      </w:r>
    </w:p>
    <w:p>
      <w:pPr>
        <w:pStyle w:val="Normal"/>
        <w:spacing w:lineRule="auto" w:line="252" w:before="0" w:after="90"/>
        <w:jc w:val="both"/>
        <w:rPr>
          <w:rFonts w:ascii="Times New Roman" w:hAnsi="Times New Roman"/>
        </w:rPr>
      </w:pPr>
      <w:r>
        <w:rPr>
          <w:rFonts w:eastAsia="Calibri" w:cs="Calibri"/>
          <w:sz w:val="20"/>
          <w:szCs w:val="20"/>
        </w:rPr>
        <w:t>Financial worry — the specific concern a household anticipates having the greatest difficulty meeting — is a compact indicator of household financial vulnerability, capturing whether a household is most preoccupied with everyday subsistence, a medical shock, education costs, old-age security, or business continuity. In the SAARC region, understanding this has direct relevance for financial-inclusion policy, microinsurance design, and social safety nets. Most existing evidence on this outcome comes from high-income countries, and prior South Asian studies have typically pooled respondents without an explicit country identifier or continuous age, constraining life-cycle analysis. This project proposes to use a dataset that, for the first time in this line of work, makes both available — allowing country-level and life-cycle effects to be modelled explicitly. Because the outcome is multinomial and unordered across six categories (Daily/Monthly Expenses, Medical Emergency, Education, Old Age, Business, Other/Unspecified), and predictor relationships may be non-linear, the study will benchmark a classical multinomial logit against SVM, Random Forest, and XGBoost, with SHAP used to interpret the best-performing model.</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2. Brief Review of Literature</w:t>
      </w:r>
    </w:p>
    <w:p>
      <w:pPr>
        <w:pStyle w:val="Normal"/>
        <w:spacing w:lineRule="auto" w:line="252" w:before="0" w:after="90"/>
        <w:jc w:val="both"/>
        <w:rPr>
          <w:rFonts w:ascii="Times New Roman" w:hAnsi="Times New Roman"/>
        </w:rPr>
      </w:pPr>
      <w:r>
        <w:rPr>
          <w:rFonts w:eastAsia="Calibri" w:cs="Calibri"/>
          <w:sz w:val="20"/>
          <w:szCs w:val="20"/>
        </w:rPr>
        <w:t>de Bruijn and Antonides (2020) and Magwegwe (2023) identify income, age, and both objective and subjective stressors as key drivers of financial worry. The Global Findex Database (Demirgüç-Kunt et al., 2022; Klapper et al., 2025) shows adults in developing countries worry most about everyday expenses and healthcare, alongside persistent digital-access gender gaps; Kumar and Pradhan (2024) and Mani (2016) find meaningful country-to-country variation in South Asia, motivating country as an explicit predictor. Wellalage and Locke (2017) document tighter credit constraints for female-owned SMEs, while the life-cycle hypothesis (Modigliani &amp; Brumberg, 1954) motivates this study's age-related predictions. XGBoost (Chen &amp; Guestrin, 2016) and SHAP (Lundberg &amp; Lee, 2017) are now standard in applied financial-behaviour research, and Bergsma's (2013) bias-corrected Cramér's V will guide the bivariate analysis.</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3. Objectives</w:t>
      </w:r>
    </w:p>
    <w:p>
      <w:pPr>
        <w:pStyle w:val="Normal"/>
        <w:spacing w:lineRule="auto" w:line="252" w:before="0" w:after="90"/>
        <w:jc w:val="both"/>
        <w:rPr>
          <w:rFonts w:ascii="Times New Roman" w:hAnsi="Times New Roman"/>
        </w:rPr>
      </w:pPr>
      <w:r>
        <w:rPr>
          <w:rFonts w:eastAsia="Calibri" w:cs="Calibri"/>
          <w:sz w:val="20"/>
          <w:szCs w:val="20"/>
        </w:rPr>
        <w:t>General objective: to identify and explain the determinants of the greatest financial worry among households in SAARC countries. Specific objectives:</w:t>
      </w:r>
    </w:p>
    <w:p>
      <w:pPr>
        <w:pStyle w:val="ListParagraph"/>
        <w:numPr>
          <w:ilvl w:val="0"/>
          <w:numId w:val="4"/>
        </w:numPr>
        <w:spacing w:lineRule="auto" w:line="252" w:before="0" w:after="50"/>
        <w:jc w:val="both"/>
        <w:rPr>
          <w:rFonts w:ascii="Times New Roman" w:hAnsi="Times New Roman"/>
        </w:rPr>
      </w:pPr>
      <w:r>
        <w:rPr>
          <w:rFonts w:eastAsia="Calibri" w:cs="Calibri"/>
          <w:sz w:val="20"/>
          <w:szCs w:val="20"/>
        </w:rPr>
        <w:t>Examine the distribution of financial worry and its demographic, economic, and digital-finance correlates.</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Test multicollinearity via correlation and VIF diagnostics prior to modelling.</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Estimate a multinomial logit and interpret Relative Risk Ratios.</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Benchmark the logit against SVM, Random Forest, and XGBoost on common performance metrics.</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Apply SHAP explainability to the best-performing model to rank key drivers of each worry category.</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Draw policy-relevant conclusions on financial-inclusion levers to reduce household vulnerability.</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4. Data Source and Methodology</w:t>
      </w:r>
    </w:p>
    <w:p>
      <w:pPr>
        <w:pStyle w:val="Normal"/>
        <w:spacing w:lineRule="auto" w:line="252" w:before="0" w:after="90"/>
        <w:jc w:val="both"/>
        <w:rPr>
          <w:rFonts w:ascii="Times New Roman" w:hAnsi="Times New Roman"/>
        </w:rPr>
      </w:pPr>
      <w:r>
        <w:rPr>
          <w:rFonts w:eastAsia="Calibri" w:cs="Calibri"/>
          <w:sz w:val="20"/>
          <w:szCs w:val="20"/>
        </w:rPr>
        <w:t>The analysis will use a cross-sectional sample of ~7,000 respondents from a Global Findex-style survey across India, Pakistan, Bangladesh, Sri Lanka, and Nepal (~43% India, ~14% each remaining country, reflecting regional population shares). A defined set of 26 raw variables spanning demographic, labor-market, financial-inclusion, digital-finance, and resilience domains will be encoded into the predictor matrix.</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Data cleaning, target recoding, and predictor construction, excluding variables that would cause target leakage.</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Exploratory and bivariate analysis (Chi-square, bias-corrected Cramér's V, Kruskal–Wallis for age).</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Multicollinearity diagnostics (correlation matrix, VIF), followed by multinomial logit estimation.</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SVM, Random Forest, and XGBoost training/evaluation on a common split (accuracy, macro-F1, weighted-F1, macro-AUC).</w:t>
      </w:r>
    </w:p>
    <w:p>
      <w:pPr>
        <w:pStyle w:val="ListParagraph"/>
        <w:numPr>
          <w:ilvl w:val="0"/>
          <w:numId w:val="2"/>
        </w:numPr>
        <w:spacing w:lineRule="auto" w:line="252" w:before="0" w:after="50"/>
        <w:jc w:val="both"/>
        <w:rPr>
          <w:rFonts w:ascii="Times New Roman" w:hAnsi="Times New Roman"/>
        </w:rPr>
      </w:pPr>
      <w:r>
        <w:rPr>
          <w:rFonts w:eastAsia="Calibri" w:cs="Calibri"/>
          <w:sz w:val="20"/>
          <w:szCs w:val="20"/>
        </w:rPr>
        <w:t>SHAP explainability on the best-performing classifier.</w:t>
      </w:r>
    </w:p>
    <w:p>
      <w:pPr>
        <w:pStyle w:val="Normal"/>
        <w:spacing w:lineRule="auto" w:line="252" w:before="0" w:after="90"/>
        <w:jc w:val="both"/>
        <w:rPr>
          <w:rFonts w:ascii="Times New Roman" w:hAnsi="Times New Roman"/>
        </w:rPr>
      </w:pPr>
      <w:r>
        <w:rPr>
          <w:rFonts w:eastAsia="Calibri" w:cs="Calibri"/>
          <w:sz w:val="20"/>
          <w:szCs w:val="20"/>
        </w:rPr>
        <w:t>Tools: Python 3.12 (pandas, NumPy, seaborn/matplotlib, SciPy, statsmodels, scikit-learn, XGBoost, shap).</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5. Expected Outcome</w:t>
      </w:r>
    </w:p>
    <w:p>
      <w:pPr>
        <w:pStyle w:val="Normal"/>
        <w:spacing w:lineRule="auto" w:line="252" w:before="0" w:after="90"/>
        <w:jc w:val="both"/>
        <w:rPr>
          <w:rFonts w:ascii="Times New Roman" w:hAnsi="Times New Roman"/>
        </w:rPr>
      </w:pPr>
      <w:r>
        <w:rPr>
          <w:rFonts w:eastAsia="Calibri" w:cs="Calibri"/>
          <w:sz w:val="20"/>
          <w:szCs w:val="20"/>
        </w:rPr>
        <w:t>A ranked understanding of the demographic, economic, digital-finance, and country-level correlates of each financial-worry category; a comparative assessment of classical versus machine-learning approaches; and policy-relevant recommendations — e.g., expanding mobile-money access or targeted microinsurance — to reduce household financial vulnerability in the SAARC region.</w:t>
      </w:r>
    </w:p>
    <w:p>
      <w:pPr>
        <w:pStyle w:val="Heading1"/>
        <w:spacing w:before="200" w:after="100"/>
        <w:rPr>
          <w:rFonts w:ascii="Times New Roman" w:hAnsi="Times New Roman"/>
        </w:rPr>
      </w:pPr>
      <w:r>
        <w:rPr>
          <w:rFonts w:eastAsia="Calibri" w:cs="Calibri" w:ascii="Times New Roman" w:hAnsi="Times New Roman"/>
          <w:b/>
          <w:bCs/>
          <w:color w:val="1F3864"/>
          <w:sz w:val="24"/>
          <w:szCs w:val="24"/>
        </w:rPr>
        <w:t>6. Proposed Work Plan (14 weeks, tentative)</w:t>
      </w:r>
    </w:p>
    <w:tbl>
      <w:tblPr>
        <w:tblW w:w="5000" w:type="pct"/>
        <w:jc w:val="start"/>
        <w:tblInd w:w="0" w:type="dxa"/>
        <w:tblLayout w:type="fixed"/>
        <w:tblCellMar>
          <w:top w:w="60" w:type="dxa"/>
          <w:start w:w="90" w:type="dxa"/>
          <w:bottom w:w="60" w:type="dxa"/>
          <w:end w:w="90" w:type="dxa"/>
        </w:tblCellMar>
      </w:tblPr>
      <w:tblGrid>
        <w:gridCol w:w="970"/>
        <w:gridCol w:w="6806"/>
        <w:gridCol w:w="1944"/>
      </w:tblGrid>
      <w:tr>
        <w:trPr>
          <w:tblHeader w:val="true"/>
        </w:trPr>
        <w:tc>
          <w:tcPr>
            <w:tcW w:w="970" w:type="dxa"/>
            <w:tcBorders>
              <w:top w:val="single" w:sz="4" w:space="0" w:color="AAAAAA"/>
              <w:start w:val="single" w:sz="4" w:space="0" w:color="AAAAAA"/>
              <w:bottom w:val="single" w:sz="4" w:space="0" w:color="CCCCCC"/>
              <w:end w:val="single" w:sz="4" w:space="0" w:color="CCCCCC"/>
            </w:tcBorders>
            <w:shd w:fill="1F3864" w:val="clear"/>
          </w:tcPr>
          <w:p>
            <w:pPr>
              <w:pStyle w:val="Normal"/>
              <w:jc w:val="center"/>
              <w:rPr>
                <w:rFonts w:ascii="Times New Roman" w:hAnsi="Times New Roman"/>
              </w:rPr>
            </w:pPr>
            <w:r>
              <w:rPr>
                <w:rFonts w:eastAsia="Calibri" w:cs="Calibri"/>
                <w:b/>
                <w:bCs/>
                <w:color w:val="FFFFFF"/>
                <w:sz w:val="19"/>
                <w:szCs w:val="19"/>
              </w:rPr>
              <w:t>Phase</w:t>
            </w:r>
          </w:p>
        </w:tc>
        <w:tc>
          <w:tcPr>
            <w:tcW w:w="6806" w:type="dxa"/>
            <w:tcBorders>
              <w:top w:val="single" w:sz="4" w:space="0" w:color="AAAAAA"/>
              <w:start w:val="single" w:sz="4" w:space="0" w:color="CCCCCC"/>
              <w:bottom w:val="single" w:sz="4" w:space="0" w:color="CCCCCC"/>
              <w:end w:val="single" w:sz="4" w:space="0" w:color="CCCCCC"/>
            </w:tcBorders>
            <w:shd w:fill="1F3864" w:val="clear"/>
          </w:tcPr>
          <w:p>
            <w:pPr>
              <w:pStyle w:val="Normal"/>
              <w:jc w:val="center"/>
              <w:rPr>
                <w:rFonts w:ascii="Times New Roman" w:hAnsi="Times New Roman"/>
              </w:rPr>
            </w:pPr>
            <w:r>
              <w:rPr>
                <w:rFonts w:eastAsia="Calibri" w:cs="Calibri"/>
                <w:b/>
                <w:bCs/>
                <w:color w:val="FFFFFF"/>
                <w:sz w:val="19"/>
                <w:szCs w:val="19"/>
              </w:rPr>
              <w:t>Activities</w:t>
            </w:r>
          </w:p>
        </w:tc>
        <w:tc>
          <w:tcPr>
            <w:tcW w:w="1944" w:type="dxa"/>
            <w:tcBorders>
              <w:top w:val="single" w:sz="4" w:space="0" w:color="AAAAAA"/>
              <w:start w:val="single" w:sz="4" w:space="0" w:color="CCCCCC"/>
              <w:bottom w:val="single" w:sz="4" w:space="0" w:color="CCCCCC"/>
              <w:end w:val="single" w:sz="4" w:space="0" w:color="AAAAAA"/>
            </w:tcBorders>
            <w:shd w:fill="1F3864" w:val="clear"/>
          </w:tcPr>
          <w:p>
            <w:pPr>
              <w:pStyle w:val="Normal"/>
              <w:jc w:val="center"/>
              <w:rPr>
                <w:rFonts w:ascii="Times New Roman" w:hAnsi="Times New Roman"/>
              </w:rPr>
            </w:pPr>
            <w:r>
              <w:rPr>
                <w:rFonts w:eastAsia="Calibri" w:cs="Calibri"/>
                <w:b/>
                <w:bCs/>
                <w:color w:val="FFFFFF"/>
                <w:sz w:val="19"/>
                <w:szCs w:val="19"/>
              </w:rPr>
              <w:t>Duration</w:t>
            </w:r>
          </w:p>
        </w:tc>
      </w:tr>
      <w:tr>
        <w:trPr/>
        <w:tc>
          <w:tcPr>
            <w:tcW w:w="970" w:type="dxa"/>
            <w:tcBorders>
              <w:top w:val="single" w:sz="4" w:space="0" w:color="CCCCCC"/>
              <w:start w:val="single" w:sz="4" w:space="0" w:color="AAAAAA"/>
              <w:bottom w:val="single" w:sz="4" w:space="0" w:color="CCCCCC"/>
              <w:end w:val="single" w:sz="4" w:space="0" w:color="CCCCCC"/>
            </w:tcBorders>
            <w:shd w:fill="F2F4F8" w:val="clear"/>
          </w:tcPr>
          <w:p>
            <w:pPr>
              <w:pStyle w:val="Normal"/>
              <w:jc w:val="center"/>
              <w:rPr>
                <w:rFonts w:ascii="Times New Roman" w:hAnsi="Times New Roman"/>
              </w:rPr>
            </w:pPr>
            <w:r>
              <w:rPr>
                <w:rFonts w:eastAsia="Calibri" w:cs="Calibri"/>
                <w:sz w:val="18"/>
                <w:szCs w:val="18"/>
              </w:rPr>
              <w:t>1</w:t>
            </w:r>
          </w:p>
        </w:tc>
        <w:tc>
          <w:tcPr>
            <w:tcW w:w="6806" w:type="dxa"/>
            <w:tcBorders>
              <w:top w:val="single" w:sz="4" w:space="0" w:color="CCCCCC"/>
              <w:start w:val="single" w:sz="4" w:space="0" w:color="CCCCCC"/>
              <w:bottom w:val="single" w:sz="4" w:space="0" w:color="CCCCCC"/>
              <w:end w:val="single" w:sz="4" w:space="0" w:color="CCCCCC"/>
            </w:tcBorders>
            <w:shd w:fill="F2F4F8" w:val="clear"/>
          </w:tcPr>
          <w:p>
            <w:pPr>
              <w:pStyle w:val="Normal"/>
              <w:jc w:val="both"/>
              <w:rPr>
                <w:rFonts w:ascii="Times New Roman" w:hAnsi="Times New Roman"/>
              </w:rPr>
            </w:pPr>
            <w:r>
              <w:rPr>
                <w:rFonts w:eastAsia="Calibri" w:cs="Calibri"/>
                <w:sz w:val="18"/>
                <w:szCs w:val="18"/>
              </w:rPr>
              <w:t>Literature review, data acquisition, cleaning, and exploratory/bivariate analysis</w:t>
            </w:r>
          </w:p>
        </w:tc>
        <w:tc>
          <w:tcPr>
            <w:tcW w:w="1944" w:type="dxa"/>
            <w:tcBorders>
              <w:top w:val="single" w:sz="4" w:space="0" w:color="CCCCCC"/>
              <w:start w:val="single" w:sz="4" w:space="0" w:color="CCCCCC"/>
              <w:bottom w:val="single" w:sz="4" w:space="0" w:color="CCCCCC"/>
              <w:end w:val="single" w:sz="4" w:space="0" w:color="AAAAAA"/>
            </w:tcBorders>
            <w:shd w:fill="F2F4F8" w:val="clear"/>
          </w:tcPr>
          <w:p>
            <w:pPr>
              <w:pStyle w:val="Normal"/>
              <w:jc w:val="start"/>
              <w:rPr>
                <w:rFonts w:ascii="Times New Roman" w:hAnsi="Times New Roman"/>
              </w:rPr>
            </w:pPr>
            <w:r>
              <w:rPr>
                <w:rFonts w:eastAsia="Calibri" w:cs="Calibri"/>
                <w:sz w:val="18"/>
                <w:szCs w:val="18"/>
              </w:rPr>
              <w:t>Wks 1</w:t>
            </w:r>
          </w:p>
        </w:tc>
      </w:tr>
      <w:tr>
        <w:trPr/>
        <w:tc>
          <w:tcPr>
            <w:tcW w:w="970" w:type="dxa"/>
            <w:tcBorders>
              <w:top w:val="single" w:sz="4" w:space="0" w:color="CCCCCC"/>
              <w:start w:val="single" w:sz="4" w:space="0" w:color="AAAAAA"/>
              <w:bottom w:val="single" w:sz="4" w:space="0" w:color="CCCCCC"/>
              <w:end w:val="single" w:sz="4" w:space="0" w:color="CCCCCC"/>
            </w:tcBorders>
            <w:shd w:fill="FFFFFF" w:val="clear"/>
          </w:tcPr>
          <w:p>
            <w:pPr>
              <w:pStyle w:val="Normal"/>
              <w:jc w:val="center"/>
              <w:rPr>
                <w:rFonts w:ascii="Times New Roman" w:hAnsi="Times New Roman"/>
              </w:rPr>
            </w:pPr>
            <w:r>
              <w:rPr>
                <w:rFonts w:eastAsia="Calibri" w:cs="Calibri"/>
                <w:sz w:val="18"/>
                <w:szCs w:val="18"/>
              </w:rPr>
              <w:t>2</w:t>
            </w:r>
          </w:p>
        </w:tc>
        <w:tc>
          <w:tcPr>
            <w:tcW w:w="6806" w:type="dxa"/>
            <w:tcBorders>
              <w:top w:val="single" w:sz="4" w:space="0" w:color="CCCCCC"/>
              <w:start w:val="single" w:sz="4" w:space="0" w:color="CCCCCC"/>
              <w:bottom w:val="single" w:sz="4" w:space="0" w:color="CCCCCC"/>
              <w:end w:val="single" w:sz="4" w:space="0" w:color="CCCCCC"/>
            </w:tcBorders>
            <w:shd w:fill="FFFFFF" w:val="clear"/>
          </w:tcPr>
          <w:p>
            <w:pPr>
              <w:pStyle w:val="Normal"/>
              <w:jc w:val="both"/>
              <w:rPr>
                <w:rFonts w:ascii="Times New Roman" w:hAnsi="Times New Roman"/>
              </w:rPr>
            </w:pPr>
            <w:r>
              <w:rPr>
                <w:rFonts w:eastAsia="Calibri" w:cs="Calibri"/>
                <w:sz w:val="18"/>
                <w:szCs w:val="18"/>
              </w:rPr>
              <w:t>Multicollinearity diagnostics and multinomial logistic regression</w:t>
            </w:r>
          </w:p>
        </w:tc>
        <w:tc>
          <w:tcPr>
            <w:tcW w:w="1944" w:type="dxa"/>
            <w:tcBorders>
              <w:top w:val="single" w:sz="4" w:space="0" w:color="CCCCCC"/>
              <w:start w:val="single" w:sz="4" w:space="0" w:color="CCCCCC"/>
              <w:bottom w:val="single" w:sz="4" w:space="0" w:color="CCCCCC"/>
              <w:end w:val="single" w:sz="4" w:space="0" w:color="AAAAAA"/>
            </w:tcBorders>
            <w:shd w:fill="FFFFFF" w:val="clear"/>
          </w:tcPr>
          <w:p>
            <w:pPr>
              <w:pStyle w:val="Normal"/>
              <w:jc w:val="start"/>
              <w:rPr>
                <w:rFonts w:ascii="Times New Roman" w:hAnsi="Times New Roman"/>
              </w:rPr>
            </w:pPr>
            <w:r>
              <w:rPr>
                <w:rFonts w:eastAsia="Calibri" w:cs="Calibri"/>
                <w:sz w:val="18"/>
                <w:szCs w:val="18"/>
              </w:rPr>
              <w:t>Wks 5–6</w:t>
            </w:r>
          </w:p>
        </w:tc>
      </w:tr>
      <w:tr>
        <w:trPr/>
        <w:tc>
          <w:tcPr>
            <w:tcW w:w="970" w:type="dxa"/>
            <w:tcBorders>
              <w:top w:val="single" w:sz="4" w:space="0" w:color="CCCCCC"/>
              <w:start w:val="single" w:sz="4" w:space="0" w:color="AAAAAA"/>
              <w:bottom w:val="single" w:sz="4" w:space="0" w:color="CCCCCC"/>
              <w:end w:val="single" w:sz="4" w:space="0" w:color="CCCCCC"/>
            </w:tcBorders>
            <w:shd w:fill="F2F4F8" w:val="clear"/>
          </w:tcPr>
          <w:p>
            <w:pPr>
              <w:pStyle w:val="Normal"/>
              <w:jc w:val="center"/>
              <w:rPr>
                <w:rFonts w:ascii="Times New Roman" w:hAnsi="Times New Roman"/>
              </w:rPr>
            </w:pPr>
            <w:r>
              <w:rPr>
                <w:rFonts w:eastAsia="Calibri" w:cs="Calibri"/>
                <w:sz w:val="18"/>
                <w:szCs w:val="18"/>
              </w:rPr>
              <w:t>3</w:t>
            </w:r>
          </w:p>
        </w:tc>
        <w:tc>
          <w:tcPr>
            <w:tcW w:w="6806" w:type="dxa"/>
            <w:tcBorders>
              <w:top w:val="single" w:sz="4" w:space="0" w:color="CCCCCC"/>
              <w:start w:val="single" w:sz="4" w:space="0" w:color="CCCCCC"/>
              <w:bottom w:val="single" w:sz="4" w:space="0" w:color="CCCCCC"/>
              <w:end w:val="single" w:sz="4" w:space="0" w:color="CCCCCC"/>
            </w:tcBorders>
            <w:shd w:fill="F2F4F8" w:val="clear"/>
          </w:tcPr>
          <w:p>
            <w:pPr>
              <w:pStyle w:val="Normal"/>
              <w:jc w:val="both"/>
              <w:rPr>
                <w:rFonts w:ascii="Times New Roman" w:hAnsi="Times New Roman"/>
              </w:rPr>
            </w:pPr>
            <w:r>
              <w:rPr>
                <w:rFonts w:eastAsia="Calibri" w:cs="Calibri"/>
                <w:sz w:val="18"/>
                <w:szCs w:val="18"/>
              </w:rPr>
              <w:t>ML classifiers (SVM, Random Forest, XGBoost), benchmarking, and SHAP analysis</w:t>
            </w:r>
          </w:p>
        </w:tc>
        <w:tc>
          <w:tcPr>
            <w:tcW w:w="1944" w:type="dxa"/>
            <w:tcBorders>
              <w:top w:val="single" w:sz="4" w:space="0" w:color="CCCCCC"/>
              <w:start w:val="single" w:sz="4" w:space="0" w:color="CCCCCC"/>
              <w:bottom w:val="single" w:sz="4" w:space="0" w:color="CCCCCC"/>
              <w:end w:val="single" w:sz="4" w:space="0" w:color="AAAAAA"/>
            </w:tcBorders>
            <w:shd w:fill="F2F4F8" w:val="clear"/>
          </w:tcPr>
          <w:p>
            <w:pPr>
              <w:pStyle w:val="Normal"/>
              <w:jc w:val="start"/>
              <w:rPr>
                <w:rFonts w:ascii="Times New Roman" w:hAnsi="Times New Roman"/>
              </w:rPr>
            </w:pPr>
            <w:r>
              <w:rPr>
                <w:rFonts w:eastAsia="Calibri" w:cs="Calibri"/>
                <w:sz w:val="18"/>
                <w:szCs w:val="18"/>
              </w:rPr>
              <w:t>Wks 7–11</w:t>
            </w:r>
          </w:p>
        </w:tc>
      </w:tr>
      <w:tr>
        <w:trPr/>
        <w:tc>
          <w:tcPr>
            <w:tcW w:w="970" w:type="dxa"/>
            <w:tcBorders>
              <w:top w:val="single" w:sz="4" w:space="0" w:color="CCCCCC"/>
              <w:start w:val="single" w:sz="4" w:space="0" w:color="AAAAAA"/>
              <w:bottom w:val="single" w:sz="4" w:space="0" w:color="AAAAAA"/>
              <w:end w:val="single" w:sz="4" w:space="0" w:color="CCCCCC"/>
            </w:tcBorders>
            <w:shd w:fill="FFFFFF" w:val="clear"/>
          </w:tcPr>
          <w:p>
            <w:pPr>
              <w:pStyle w:val="Normal"/>
              <w:jc w:val="center"/>
              <w:rPr>
                <w:rFonts w:ascii="Times New Roman" w:hAnsi="Times New Roman"/>
              </w:rPr>
            </w:pPr>
            <w:r>
              <w:rPr>
                <w:rFonts w:eastAsia="Calibri" w:cs="Calibri"/>
                <w:sz w:val="18"/>
                <w:szCs w:val="18"/>
              </w:rPr>
              <w:t>4</w:t>
            </w:r>
          </w:p>
        </w:tc>
        <w:tc>
          <w:tcPr>
            <w:tcW w:w="6806" w:type="dxa"/>
            <w:tcBorders>
              <w:top w:val="single" w:sz="4" w:space="0" w:color="CCCCCC"/>
              <w:start w:val="single" w:sz="4" w:space="0" w:color="CCCCCC"/>
              <w:bottom w:val="single" w:sz="4" w:space="0" w:color="AAAAAA"/>
              <w:end w:val="single" w:sz="4" w:space="0" w:color="CCCCCC"/>
            </w:tcBorders>
            <w:shd w:fill="FFFFFF" w:val="clear"/>
          </w:tcPr>
          <w:p>
            <w:pPr>
              <w:pStyle w:val="Normal"/>
              <w:jc w:val="both"/>
              <w:rPr>
                <w:rFonts w:ascii="Times New Roman" w:hAnsi="Times New Roman"/>
              </w:rPr>
            </w:pPr>
            <w:r>
              <w:rPr>
                <w:rFonts w:eastAsia="Calibri" w:cs="Calibri"/>
                <w:sz w:val="18"/>
                <w:szCs w:val="18"/>
              </w:rPr>
              <w:t>Report writing, supervisor review, revision, and final submission</w:t>
            </w:r>
          </w:p>
        </w:tc>
        <w:tc>
          <w:tcPr>
            <w:tcW w:w="1944" w:type="dxa"/>
            <w:tcBorders>
              <w:top w:val="single" w:sz="4" w:space="0" w:color="CCCCCC"/>
              <w:start w:val="single" w:sz="4" w:space="0" w:color="CCCCCC"/>
              <w:bottom w:val="single" w:sz="4" w:space="0" w:color="AAAAAA"/>
              <w:end w:val="single" w:sz="4" w:space="0" w:color="AAAAAA"/>
            </w:tcBorders>
            <w:shd w:fill="FFFFFF" w:val="clear"/>
          </w:tcPr>
          <w:p>
            <w:pPr>
              <w:pStyle w:val="Normal"/>
              <w:jc w:val="start"/>
              <w:rPr>
                <w:rFonts w:ascii="Times New Roman" w:hAnsi="Times New Roman"/>
              </w:rPr>
            </w:pPr>
            <w:r>
              <w:rPr>
                <w:rFonts w:eastAsia="Calibri" w:cs="Calibri"/>
                <w:sz w:val="18"/>
                <w:szCs w:val="18"/>
              </w:rPr>
              <w:t>Wks 12–14</w:t>
            </w:r>
          </w:p>
        </w:tc>
      </w:tr>
    </w:tbl>
    <w:p>
      <w:pPr>
        <w:pStyle w:val="Heading1"/>
        <w:spacing w:before="220" w:after="100"/>
        <w:rPr>
          <w:rFonts w:ascii="Times New Roman" w:hAnsi="Times New Roman"/>
        </w:rPr>
      </w:pPr>
      <w:r>
        <w:rPr>
          <w:rFonts w:eastAsia="Calibri" w:cs="Calibri" w:ascii="Times New Roman" w:hAnsi="Times New Roman"/>
          <w:b/>
          <w:bCs/>
          <w:color w:val="1F3864"/>
          <w:sz w:val="24"/>
          <w:szCs w:val="24"/>
        </w:rPr>
        <w:t>References</w:t>
      </w:r>
    </w:p>
    <w:p>
      <w:pPr>
        <w:pStyle w:val="Normal"/>
        <w:spacing w:lineRule="auto" w:line="240" w:before="0" w:after="80"/>
        <w:ind w:hanging="576" w:start="576"/>
        <w:jc w:val="both"/>
        <w:rPr>
          <w:rFonts w:ascii="Times New Roman" w:hAnsi="Times New Roman"/>
        </w:rPr>
      </w:pPr>
      <w:r>
        <w:rPr>
          <w:rFonts w:eastAsia="Calibri" w:cs="Calibri"/>
          <w:sz w:val="18"/>
          <w:szCs w:val="18"/>
        </w:rPr>
        <w:t>Bergsma, W. (2013). A bias-correction for Cramér's V and Tschuprow's T. Journal of the Korean Statistical Society, 42(3), 323–328.</w:t>
      </w:r>
    </w:p>
    <w:p>
      <w:pPr>
        <w:pStyle w:val="Normal"/>
        <w:spacing w:lineRule="auto" w:line="240" w:before="0" w:after="80"/>
        <w:ind w:hanging="576" w:start="576"/>
        <w:jc w:val="both"/>
        <w:rPr>
          <w:rFonts w:ascii="Times New Roman" w:hAnsi="Times New Roman"/>
        </w:rPr>
      </w:pPr>
      <w:r>
        <w:rPr>
          <w:rFonts w:eastAsia="Calibri" w:cs="Calibri"/>
          <w:sz w:val="18"/>
          <w:szCs w:val="18"/>
        </w:rPr>
        <w:t>Chen, T., &amp; Guestrin, C. (2016). XGBoost: A scalable tree boosting system. Proceedings of the 22nd ACM SIGKDD Conference, 785–794.</w:t>
      </w:r>
    </w:p>
    <w:p>
      <w:pPr>
        <w:pStyle w:val="Normal"/>
        <w:spacing w:lineRule="auto" w:line="240" w:before="0" w:after="80"/>
        <w:ind w:hanging="576" w:start="576"/>
        <w:jc w:val="both"/>
        <w:rPr>
          <w:rFonts w:ascii="Times New Roman" w:hAnsi="Times New Roman"/>
        </w:rPr>
      </w:pPr>
      <w:r>
        <w:rPr>
          <w:rFonts w:eastAsia="Calibri" w:cs="Calibri"/>
          <w:sz w:val="18"/>
          <w:szCs w:val="18"/>
        </w:rPr>
        <w:t>de Bruijn, E.-J., &amp; Antonides, G. (2020). Determinants of financial worry and rumination. Journal of Economic Psychology, 76, 102233.</w:t>
      </w:r>
    </w:p>
    <w:p>
      <w:pPr>
        <w:pStyle w:val="Normal"/>
        <w:spacing w:lineRule="auto" w:line="240" w:before="0" w:after="80"/>
        <w:ind w:hanging="576" w:start="576"/>
        <w:jc w:val="both"/>
        <w:rPr>
          <w:rFonts w:ascii="Times New Roman" w:hAnsi="Times New Roman"/>
        </w:rPr>
      </w:pPr>
      <w:r>
        <w:rPr>
          <w:rFonts w:eastAsia="Calibri" w:cs="Calibri"/>
          <w:sz w:val="18"/>
          <w:szCs w:val="18"/>
        </w:rPr>
        <w:t>Demirgüç-Kunt, A., Klapper, L., Singer, D., &amp; Ansar, S. (2022). The Global Findex Database 2021. World Bank Publications.</w:t>
      </w:r>
    </w:p>
    <w:p>
      <w:pPr>
        <w:pStyle w:val="Normal"/>
        <w:spacing w:lineRule="auto" w:line="240" w:before="0" w:after="80"/>
        <w:ind w:hanging="576" w:start="576"/>
        <w:jc w:val="both"/>
        <w:rPr>
          <w:rFonts w:ascii="Times New Roman" w:hAnsi="Times New Roman"/>
        </w:rPr>
      </w:pPr>
      <w:r>
        <w:rPr>
          <w:rFonts w:eastAsia="Calibri" w:cs="Calibri"/>
          <w:sz w:val="18"/>
          <w:szCs w:val="18"/>
        </w:rPr>
        <w:t>Klapper, L., Singer, D., Starita, L., &amp; Norris, A. J. (2025). The Global Findex Database 2025. World Bank.</w:t>
      </w:r>
    </w:p>
    <w:p>
      <w:pPr>
        <w:pStyle w:val="Normal"/>
        <w:spacing w:lineRule="auto" w:line="240" w:before="0" w:after="80"/>
        <w:ind w:hanging="576" w:start="576"/>
        <w:jc w:val="both"/>
        <w:rPr>
          <w:rFonts w:ascii="Times New Roman" w:hAnsi="Times New Roman"/>
        </w:rPr>
      </w:pPr>
      <w:r>
        <w:rPr>
          <w:rFonts w:eastAsia="Calibri" w:cs="Calibri"/>
          <w:sz w:val="18"/>
          <w:szCs w:val="18"/>
        </w:rPr>
        <w:t>Kumar, S., &amp; Pradhan, K. C. (2024). Socioeconomic and demographic determinants of financial inclusion in South Asia. Journal of Policy Modeling, 46(3), 655–682.</w:t>
      </w:r>
    </w:p>
    <w:p>
      <w:pPr>
        <w:pStyle w:val="Normal"/>
        <w:spacing w:lineRule="auto" w:line="240" w:before="0" w:after="80"/>
        <w:ind w:hanging="576" w:start="576"/>
        <w:jc w:val="both"/>
        <w:rPr>
          <w:rFonts w:ascii="Times New Roman" w:hAnsi="Times New Roman"/>
        </w:rPr>
      </w:pPr>
      <w:r>
        <w:rPr>
          <w:rFonts w:eastAsia="Calibri" w:cs="Calibri"/>
          <w:sz w:val="18"/>
          <w:szCs w:val="18"/>
        </w:rPr>
        <w:t>Lundberg, S. M., &amp; Lee, S.-I. (2017). A unified approach to interpreting model predictions. NeurIPS, 30.</w:t>
      </w:r>
    </w:p>
    <w:p>
      <w:pPr>
        <w:pStyle w:val="Normal"/>
        <w:spacing w:lineRule="auto" w:line="240" w:before="0" w:after="80"/>
        <w:ind w:hanging="576" w:start="576"/>
        <w:jc w:val="both"/>
        <w:rPr>
          <w:rFonts w:ascii="Times New Roman" w:hAnsi="Times New Roman"/>
        </w:rPr>
      </w:pPr>
      <w:r>
        <w:rPr>
          <w:rFonts w:eastAsia="Calibri" w:cs="Calibri"/>
          <w:sz w:val="18"/>
          <w:szCs w:val="18"/>
        </w:rPr>
        <w:t>Magwegwe, F. M. (2023). Determinants of financial worry. Journal of Consumer Affairs.</w:t>
      </w:r>
    </w:p>
    <w:p>
      <w:pPr>
        <w:pStyle w:val="Normal"/>
        <w:spacing w:lineRule="auto" w:line="240" w:before="0" w:after="80"/>
        <w:ind w:hanging="576" w:start="576"/>
        <w:jc w:val="both"/>
        <w:rPr>
          <w:rFonts w:ascii="Times New Roman" w:hAnsi="Times New Roman"/>
        </w:rPr>
      </w:pPr>
      <w:r>
        <w:rPr>
          <w:rFonts w:eastAsia="Calibri" w:cs="Calibri"/>
          <w:sz w:val="18"/>
          <w:szCs w:val="18"/>
        </w:rPr>
        <w:t>Mani, M. (2016). Financial inclusion in South Asia—Relative standing, challenges and initiatives. South Asian Survey.</w:t>
      </w:r>
    </w:p>
    <w:p>
      <w:pPr>
        <w:pStyle w:val="Normal"/>
        <w:spacing w:lineRule="auto" w:line="240" w:before="0" w:after="80"/>
        <w:ind w:hanging="576" w:start="576"/>
        <w:jc w:val="both"/>
        <w:rPr>
          <w:rFonts w:ascii="Times New Roman" w:hAnsi="Times New Roman"/>
        </w:rPr>
      </w:pPr>
      <w:r>
        <w:rPr>
          <w:rFonts w:eastAsia="Calibri" w:cs="Calibri"/>
          <w:sz w:val="18"/>
          <w:szCs w:val="18"/>
        </w:rPr>
        <w:t>Modigliani, F., &amp; Brumberg, R. (1954). Utility analysis and the consumption function. In Post-Keynesian Economics (pp. 388–436). Rutgers University Press.</w:t>
      </w:r>
    </w:p>
    <w:p>
      <w:pPr>
        <w:pStyle w:val="Normal"/>
        <w:spacing w:lineRule="auto" w:line="240" w:before="0" w:after="80"/>
        <w:ind w:hanging="576" w:start="576"/>
        <w:jc w:val="both"/>
        <w:rPr>
          <w:rFonts w:ascii="Times New Roman" w:hAnsi="Times New Roman"/>
        </w:rPr>
      </w:pPr>
      <w:r>
        <w:rPr>
          <w:rFonts w:eastAsia="Calibri" w:cs="Calibri"/>
          <w:sz w:val="18"/>
          <w:szCs w:val="18"/>
        </w:rPr>
        <w:t>Wellalage, N., &amp; Locke, S. (2017). Access to credit by SMEs in South Asia. Research in International Business and Finance, 41, 336–346.</w:t>
      </w:r>
    </w:p>
    <w:sectPr>
      <w:footerReference w:type="even" r:id="rId2"/>
      <w:footerReference w:type="default" r:id="rId3"/>
      <w:footerReference w:type="first" r:id="rId4"/>
      <w:type w:val="nextPage"/>
      <w:pgSz w:w="12240" w:h="15840"/>
      <w:pgMar w:left="1260" w:right="126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sz w:val="18"/>
        <w:szCs w:val="18"/>
      </w:rPr>
      <w:fldChar w:fldCharType="begin"/>
    </w:r>
    <w:r>
      <w:rPr>
        <w:rFonts w:eastAsia="Calibri" w:cs="Calibri" w:ascii="Calibri" w:hAnsi="Calibri"/>
        <w:sz w:val="18"/>
        <w:szCs w:val="18"/>
      </w:rPr>
      <w:instrText xml:space="preserve"> PAGE </w:instrText>
    </w:r>
    <w:r>
      <w:rPr>
        <w:rFonts w:eastAsia="Calibri" w:cs="Calibri" w:ascii="Calibri" w:hAnsi="Calibri"/>
        <w:sz w:val="18"/>
        <w:szCs w:val="18"/>
      </w:rPr>
      <w:fldChar w:fldCharType="separate"/>
    </w:r>
    <w:r>
      <w:rPr>
        <w:rFonts w:eastAsia="Calibri" w:cs="Calibri" w:ascii="Calibri" w:hAnsi="Calibri"/>
        <w:sz w:val="18"/>
        <w:szCs w:val="18"/>
      </w:rPr>
      <w:t>2</w:t>
    </w:r>
    <w:r>
      <w:rPr>
        <w:rFonts w:eastAsia="Calibri" w:cs="Calibri" w:ascii="Calibri" w:hAnsi="Calibri"/>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sz w:val="18"/>
        <w:szCs w:val="18"/>
      </w:rPr>
      <w:fldChar w:fldCharType="begin"/>
    </w:r>
    <w:r>
      <w:rPr>
        <w:rFonts w:eastAsia="Calibri" w:cs="Calibri" w:ascii="Calibri" w:hAnsi="Calibri"/>
        <w:sz w:val="18"/>
        <w:szCs w:val="18"/>
      </w:rPr>
      <w:instrText xml:space="preserve"> PAGE </w:instrText>
    </w:r>
    <w:r>
      <w:rPr>
        <w:rFonts w:eastAsia="Calibri" w:cs="Calibri" w:ascii="Calibri" w:hAnsi="Calibri"/>
        <w:sz w:val="18"/>
        <w:szCs w:val="18"/>
      </w:rPr>
      <w:fldChar w:fldCharType="separate"/>
    </w:r>
    <w:r>
      <w:rPr>
        <w:rFonts w:eastAsia="Calibri" w:cs="Calibri" w:ascii="Calibri" w:hAnsi="Calibri"/>
        <w:sz w:val="18"/>
        <w:szCs w:val="18"/>
      </w:rPr>
      <w:t>2</w:t>
    </w:r>
    <w:r>
      <w:rPr>
        <w:rFonts w:eastAsia="Calibri" w:cs="Calibri" w:ascii="Calibri" w:hAnsi="Calibri"/>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31"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31" w:hanging="259"/>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LibreOffice_project/620$Build-2</Application>
  <AppVersion>15.0000</AppVersion>
  <Pages>2</Pages>
  <Words>960</Words>
  <Characters>6000</Characters>
  <CharactersWithSpaces>6878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2026-07-28T11:59:24Z</dcterms:created>
  <dc:creator>Un-named</dc:creator>
  <dc:description/>
  <dc:language>en-US</dc:language>
  <cp:lastModifiedBy/>
  <dcterms:modified xsi:type="dcterms:W3CDTF">2026-07-28T18:05:25Z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