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C41230" w:val="clear"/>
            <w:tcMar>
              <w:top w:type="dxa" w:w="500"/>
              <w:left w:type="dxa" w:w="540"/>
              <w:bottom w:type="dxa" w:w="500"/>
              <w:right w:type="dxa" w:w="540"/>
            </w:tcMar>
          </w:tcPr>
          <w:p>
            <w:pPr>
              <w:spacing w:after="80" w:before="0"/>
            </w:pPr>
            <w:r>
              <w:rPr>
                <w:rFonts w:ascii="Arial" w:cs="Arial" w:eastAsia="Arial" w:hAnsi="Arial"/>
                <w:b/>
                <w:bCs/>
                <w:color w:val="F0AAAA"/>
                <w:sz w:val="17"/>
                <w:szCs w:val="17"/>
              </w:rPr>
              <w:t xml:space="preserve">AI ADOPTION IN ACTION  ·  CANADA LIFE  ·  AN ANALYTICS</w:t>
            </w:r>
          </w:p>
          <w:p>
            <w:pPr>
              <w:spacing w:after="80" w:before="0"/>
            </w:pPr>
            <w:r>
              <w:rPr>
                <w:rFonts w:ascii="Arial" w:cs="Arial" w:eastAsia="Arial" w:hAnsi="Arial"/>
                <w:b/>
                <w:bCs/>
                <w:color w:val="FFFFFF"/>
                <w:sz w:val="42"/>
                <w:szCs w:val="42"/>
              </w:rPr>
              <w:t xml:space="preserve">A Test Suite for Data Quality:</w:t>
            </w:r>
          </w:p>
          <w:p>
            <w:pPr>
              <w:spacing w:after="200" w:before="0"/>
            </w:pPr>
            <w:r>
              <w:rPr>
                <w:rFonts w:ascii="Arial" w:cs="Arial" w:eastAsia="Arial" w:hAnsi="Arial"/>
                <w:b/>
                <w:bCs/>
                <w:color w:val="FFCCCC"/>
                <w:sz w:val="36"/>
                <w:szCs w:val="36"/>
              </w:rPr>
              <w:t xml:space="preserve">How the Business Team Learned to Own Validation at Canada Life</w:t>
            </w:r>
          </w:p>
          <w:p>
            <w:pPr>
              <w:spacing w:after="40" w:before="0"/>
            </w:pPr>
            <w:r>
              <w:rPr>
                <w:rFonts w:ascii="Arial" w:cs="Arial" w:eastAsia="Arial" w:hAnsi="Arial"/>
                <w:color w:val="F5CCCC"/>
                <w:sz w:val="19"/>
                <w:szCs w:val="19"/>
              </w:rPr>
              <w:t xml:space="preserve">Tables: dimension_advisor  ·  dimension_plan  ·  fact_wealth_sales</w:t>
            </w:r>
          </w:p>
          <w:p>
            <w:pPr>
              <w:spacing w:after="0" w:before="0"/>
            </w:pPr>
            <w:r>
              <w:rPr>
                <w:rFonts w:ascii="Arial" w:cs="Arial" w:eastAsia="Arial" w:hAnsi="Arial"/>
                <w:color w:val="F5CCCC"/>
                <w:sz w:val="19"/>
                <w:szCs w:val="19"/>
              </w:rPr>
              <w:t xml:space="preserve">Tool: Microsoft Copilot  ·  Output: Databricks Test Suite  ·  Owner: Business Analyst Team</w:t>
            </w:r>
          </w:p>
        </w:tc>
      </w:tr>
    </w:tbl>
    <w:p>
      <w:pPr>
        <w:spacing w:after="0" w:before="320"/>
      </w:pPr>
      <w:r>
        <w:t xml:space="preserve"/>
      </w:r>
    </w:p>
    <w:p>
      <w:pPr>
        <w:spacing w:after="100" w:before="80"/>
      </w:pPr>
      <w:r>
        <w:rPr>
          <w:rFonts w:ascii="Arial" w:cs="Arial" w:eastAsia="Arial" w:hAnsi="Arial"/>
          <w:color w:val="333333"/>
          <w:sz w:val="21"/>
          <w:szCs w:val="21"/>
        </w:rPr>
        <w:t xml:space="preserve">Picture this.</w:t>
      </w:r>
    </w:p>
    <w:p>
      <w:pPr>
        <w:spacing w:after="0" w:before="60"/>
      </w:pPr>
      <w:r>
        <w:t xml:space="preserve"/>
      </w:r>
    </w:p>
    <w:p>
      <w:pPr>
        <w:spacing w:after="100" w:before="80"/>
      </w:pPr>
      <w:r>
        <w:rPr>
          <w:rFonts w:ascii="Arial" w:cs="Arial" w:eastAsia="Arial" w:hAnsi="Arial"/>
          <w:color w:val="333333"/>
          <w:sz w:val="21"/>
          <w:szCs w:val="21"/>
        </w:rPr>
        <w:t xml:space="preserve">It is sign-off day for the dimension_advisor table. The ETL developer says the code is done. The mapping sheet has been reviewed. The design document is signed. Everyone in the room nods. And then the Business Analyst opens a Databricks notebook, clicks Run All, and waits.</w:t>
      </w:r>
    </w:p>
    <w:p>
      <w:pPr>
        <w:spacing w:after="0" w:before="60"/>
      </w:pPr>
      <w:r>
        <w:t xml:space="preserve"/>
      </w:r>
    </w:p>
    <w:p>
      <w:pPr>
        <w:spacing w:after="100" w:before="80"/>
      </w:pPr>
      <w:r>
        <w:rPr>
          <w:rFonts w:ascii="Arial" w:cs="Arial" w:eastAsia="Arial" w:hAnsi="Arial"/>
          <w:color w:val="333333"/>
          <w:sz w:val="21"/>
          <w:szCs w:val="21"/>
        </w:rPr>
        <w:t xml:space="preserve">Fifteen minutes later, a report appears on the screen. Not one the BA wrote. Not one the developer wrote. One that Copilot built for them — automatically, from the ETL script and mapping sheet they already had.</w:t>
      </w:r>
    </w:p>
    <w:p>
      <w:pPr>
        <w:spacing w:after="0" w:before="60"/>
      </w:pPr>
      <w:r>
        <w:t xml:space="preserve"/>
      </w:r>
    </w:p>
    <w:p>
      <w:pPr>
        <w:spacing w:after="100" w:before="80"/>
      </w:pPr>
      <w:r>
        <w:rPr>
          <w:rFonts w:ascii="Arial" w:cs="Arial" w:eastAsia="Arial" w:hAnsi="Arial"/>
          <w:color w:val="333333"/>
          <w:sz w:val="21"/>
          <w:szCs w:val="21"/>
        </w:rPr>
        <w:t xml:space="preserve">It shows 54 tests run. 51 passed. 3 failed.</w:t>
      </w:r>
    </w:p>
    <w:p>
      <w:pPr>
        <w:spacing w:after="0" w:before="60"/>
      </w:pPr>
      <w:r>
        <w:t xml:space="preserve"/>
      </w:r>
    </w:p>
    <w:p>
      <w:pPr>
        <w:spacing w:after="100" w:before="80"/>
      </w:pPr>
      <w:r>
        <w:rPr>
          <w:rFonts w:ascii="Arial" w:cs="Arial" w:eastAsia="Arial" w:hAnsi="Arial"/>
          <w:color w:val="333333"/>
          <w:sz w:val="21"/>
          <w:szCs w:val="21"/>
        </w:rPr>
        <w:t xml:space="preserve">The three failures come with exact records, exact column values, and the exact SQL query that exposed each one. The sign-off meeting does not end with “looks good.” It ends with three specific fixes, a rerun the next morning, and genuine confidence that the data is correct.</w:t>
      </w:r>
    </w:p>
    <w:p>
      <w:pPr>
        <w:spacing w:after="0" w:before="80"/>
      </w:pPr>
      <w:r>
        <w:t xml:space="preserve"/>
      </w:r>
    </w:p>
    <w:p>
      <w:pPr>
        <w:spacing w:after="100" w:before="80"/>
      </w:pPr>
      <w:r>
        <w:rPr>
          <w:rFonts w:ascii="Arial" w:cs="Arial" w:eastAsia="Arial" w:hAnsi="Arial"/>
          <w:color w:val="333333"/>
          <w:sz w:val="21"/>
          <w:szCs w:val="21"/>
        </w:rPr>
        <w:t xml:space="preserve">That is what this story is about. Not just a tool that generates tests. A shift in who owns data quality — and what “validated” actually means.</w:t>
      </w:r>
    </w:p>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1 — The Problem With “Looks Good”</w:t>
      </w:r>
    </w:p>
    <w:p>
      <w:pPr>
        <w:spacing w:after="100" w:before="80"/>
      </w:pPr>
      <w:r>
        <w:rPr>
          <w:rFonts w:ascii="Arial" w:cs="Arial" w:eastAsia="Arial" w:hAnsi="Arial"/>
          <w:color w:val="333333"/>
          <w:sz w:val="21"/>
          <w:szCs w:val="21"/>
        </w:rPr>
        <w:t xml:space="preserve">Every ETL project reaches the same moment. The code is built. The mapping sheet exists. The design document describes the intended logic. And someone — usually the Business Analyst — is asked to validate that the output is correct before the table goes into production.</w:t>
      </w:r>
    </w:p>
    <w:p>
      <w:pPr>
        <w:spacing w:after="0" w:before="60"/>
      </w:pPr>
      <w:r>
        <w:t xml:space="preserve"/>
      </w:r>
    </w:p>
    <w:p>
      <w:pPr>
        <w:spacing w:after="100" w:before="80"/>
      </w:pPr>
      <w:r>
        <w:rPr>
          <w:rFonts w:ascii="Arial" w:cs="Arial" w:eastAsia="Arial" w:hAnsi="Arial"/>
          <w:color w:val="333333"/>
          <w:sz w:val="21"/>
          <w:szCs w:val="21"/>
        </w:rPr>
        <w:t xml:space="preserve">So they open the table. They write a few queries. They pick some records that seem representative. They compare the output to what the mapping sheet says it should be. If it matches, they sign off.</w:t>
      </w:r>
    </w:p>
    <w:p>
      <w:pPr>
        <w:spacing w:after="0" w:before="60"/>
      </w:pPr>
      <w:r>
        <w:t xml:space="preserve"/>
      </w:r>
    </w:p>
    <w:p>
      <w:pPr>
        <w:spacing w:after="100" w:before="80"/>
      </w:pPr>
      <w:r>
        <w:rPr>
          <w:rFonts w:ascii="Arial" w:cs="Arial" w:eastAsia="Arial" w:hAnsi="Arial"/>
          <w:color w:val="333333"/>
          <w:sz w:val="21"/>
          <w:szCs w:val="21"/>
        </w:rPr>
        <w:t xml:space="preserve">This is not validation. This is optimism with a spreadsheet.</w:t>
      </w:r>
    </w:p>
    <w:p>
      <w:pPr>
        <w:spacing w:after="0" w:before="80"/>
      </w:pPr>
      <w:r>
        <w:t xml:space="preserve"/>
      </w:r>
    </w:p>
    <w:p>
      <w:pPr>
        <w:spacing w:after="100" w:before="80"/>
      </w:pPr>
      <w:r>
        <w:rPr>
          <w:rFonts w:ascii="Arial" w:cs="Arial" w:eastAsia="Arial" w:hAnsi="Arial"/>
          <w:color w:val="333333"/>
          <w:sz w:val="21"/>
          <w:szCs w:val="21"/>
        </w:rPr>
        <w:t xml:space="preserve">The gap is not about effort or intent. It is structural. Manual spot-checking can only find the errors you already suspected. It cannot systematically test every transformation rule, every CASE statement branch, every edge case buried in real production data. Not across a 60-column ETL table. Not in any reasonable amount of time.</w:t>
      </w:r>
    </w:p>
    <w:p>
      <w:pPr>
        <w:spacing w:after="0" w:before="100"/>
      </w:pPr>
      <w:r>
        <w:t xml:space="preserve"/>
      </w:r>
    </w:p>
    <w:p>
      <w:pPr>
        <w:spacing w:after="100" w:before="80"/>
      </w:pPr>
      <w:r>
        <w:rPr>
          <w:rFonts w:ascii="Arial" w:cs="Arial" w:eastAsia="Arial" w:hAnsi="Arial"/>
          <w:color w:val="333333"/>
          <w:sz w:val="21"/>
          <w:szCs w:val="21"/>
        </w:rPr>
        <w:t xml:space="preserve">For the three final tables being built in the AN Analytics pipeline at Canada Life, the stakes were high. Each table carried complex business logic — IPC-specific rules layered on top of Canada Life rules, identity matching conditions with multiple fallback paths, date-window calculations, and product classifications that only triggered under specific combinations of source data. The kind of logic where 95% of records behave exactly as expected — and the other 5% reveal exactly where the code and the mapping sheet disagreed.</w:t>
      </w:r>
    </w:p>
    <w:p>
      <w:pPr>
        <w:spacing w:after="0" w:before="120"/>
      </w:pPr>
      <w:r>
        <w:t xml:space="preserve"/>
      </w:r>
    </w:p>
    <w:p>
      <w:pPr>
        <w:spacing w:after="100" w:before="80"/>
      </w:pPr>
      <w:r>
        <w:rPr>
          <w:rFonts w:ascii="Arial" w:cs="Arial" w:eastAsia="Arial" w:hAnsi="Arial"/>
          <w:color w:val="333333"/>
          <w:sz w:val="21"/>
          <w:szCs w:val="21"/>
        </w:rPr>
        <w:t xml:space="preserve">Here is what that 5% looked like in practice across the three tables: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2"/>
              <w:left w:val="single" w:color="DDDDDD" w:sz="2"/>
              <w:bottom w:val="single" w:color="DDDDDD" w:sz="2"/>
              <w:right w:val="single" w:color="DDDDDD" w:sz="2"/>
            </w:tcBorders>
            <w:shd w:fill="F4F4F4" w:val="clear"/>
            <w:tcMar>
              <w:top w:type="dxa" w:w="160"/>
              <w:left w:type="dxa" w:w="180"/>
              <w:bottom w:type="dxa" w:w="160"/>
              <w:right w:type="dxa" w:w="180"/>
            </w:tcMar>
          </w:tcPr>
          <w:p>
            <w:pPr>
              <w:spacing w:after="80" w:before="0"/>
            </w:pPr>
            <w:r>
              <w:rPr>
                <w:rFonts w:ascii="Arial" w:cs="Arial" w:eastAsia="Arial" w:hAnsi="Arial"/>
                <w:b/>
                <w:bCs/>
                <w:color w:val="C41230"/>
                <w:sz w:val="19"/>
                <w:szCs w:val="19"/>
              </w:rPr>
              <w:t xml:space="preserve">dimension_advisor</w:t>
            </w:r>
          </w:p>
          <w:p>
            <w:pPr>
              <w:spacing w:after="60" w:before="0"/>
            </w:pPr>
            <w:r>
              <w:rPr>
                <w:rFonts w:ascii="Arial" w:cs="Arial" w:eastAsia="Arial" w:hAnsi="Arial"/>
                <w:b/>
                <w:bCs/>
                <w:color w:val="1A1A1A"/>
                <w:sz w:val="19"/>
                <w:szCs w:val="19"/>
              </w:rPr>
              <w:t xml:space="preserve">IPC-to-IDM Matching Rule (IPC-MATCH-01/02/03)</w:t>
            </w:r>
          </w:p>
          <w:p>
            <w:pPr>
              <w:spacing w:after="60" w:before="0"/>
            </w:pPr>
            <w:r>
              <w:rPr>
                <w:rFonts w:ascii="Arial" w:cs="Arial" w:eastAsia="Arial" w:hAnsi="Arial"/>
                <w:color w:val="333333"/>
                <w:sz w:val="19"/>
                <w:szCs w:val="19"/>
              </w:rPr>
              <w:t xml:space="preserve">When an IPC advisor’s masked SIN matches IDM and surnames match exactly (case-insensitive), the IDM advisor_agreement_group_identifier must be used. If SIN matches but name does NOT match — a synthetic UID must be created to prevent false positives. Three separate conditions, each with different behaviour.</w:t>
            </w:r>
          </w:p>
          <w:p>
            <w:pPr>
              <w:spacing w:after="0" w:before="0"/>
            </w:pPr>
            <w:r>
              <w:rPr>
                <w:rFonts w:ascii="Arial" w:cs="Arial" w:eastAsia="Arial" w:hAnsi="Arial"/>
                <w:i/>
                <w:iCs/>
                <w:color w:val="AA2200"/>
                <w:sz w:val="18"/>
                <w:szCs w:val="18"/>
              </w:rPr>
              <w:t xml:space="preserve">⚠  A missed name-mismatch check silently assigns the wrong advisor identity to an IPC record — corrupting downstream reporting.</w:t>
            </w:r>
          </w:p>
        </w:tc>
        <w:tc>
          <w:tcPr>
            <w:tcW w:type="dxa" w:w="3120"/>
            <w:tcBorders>
              <w:top w:val="single" w:color="DDDDDD" w:sz="2"/>
              <w:left w:val="single" w:color="DDDDDD" w:sz="2"/>
              <w:bottom w:val="single" w:color="DDDDDD" w:sz="2"/>
              <w:right w:val="single" w:color="DDDDDD" w:sz="2"/>
            </w:tcBorders>
            <w:shd w:fill="F4F4F4" w:val="clear"/>
            <w:tcMar>
              <w:top w:type="dxa" w:w="160"/>
              <w:left w:type="dxa" w:w="180"/>
              <w:bottom w:type="dxa" w:w="160"/>
              <w:right w:type="dxa" w:w="180"/>
            </w:tcMar>
          </w:tcPr>
          <w:p>
            <w:pPr>
              <w:spacing w:after="80" w:before="0"/>
            </w:pPr>
            <w:r>
              <w:rPr>
                <w:rFonts w:ascii="Arial" w:cs="Arial" w:eastAsia="Arial" w:hAnsi="Arial"/>
                <w:b/>
                <w:bCs/>
                <w:color w:val="C41230"/>
                <w:sz w:val="19"/>
                <w:szCs w:val="19"/>
              </w:rPr>
              <w:t xml:space="preserve">dimension_plan</w:t>
            </w:r>
          </w:p>
          <w:p>
            <w:pPr>
              <w:spacing w:after="60" w:before="0"/>
            </w:pPr>
            <w:r>
              <w:rPr>
                <w:rFonts w:ascii="Arial" w:cs="Arial" w:eastAsia="Arial" w:hAnsi="Arial"/>
                <w:b/>
                <w:bCs/>
                <w:color w:val="1A1A1A"/>
                <w:sz w:val="19"/>
                <w:szCs w:val="19"/>
              </w:rPr>
              <w:t xml:space="preserve">CLIML002 + manufacturing_company_code Check (IPC-PROD-02)</w:t>
            </w:r>
          </w:p>
          <w:p>
            <w:pPr>
              <w:spacing w:after="60" w:before="0"/>
            </w:pPr>
            <w:r>
              <w:rPr>
                <w:rFonts w:ascii="Arial" w:cs="Arial" w:eastAsia="Arial" w:hAnsi="Arial"/>
                <w:color w:val="333333"/>
                <w:sz w:val="19"/>
                <w:szCs w:val="19"/>
              </w:rPr>
              <w:t xml:space="preserve">CLIML002 only maps to 'IPC One' when manufacturing_company_code = 'IPC'. Without that company code filter, 99% of test records pass because most plans never hit CLIML002. The 1% that fail are exactly the IPC migration plans the project depends on.</w:t>
            </w:r>
          </w:p>
          <w:p>
            <w:pPr>
              <w:spacing w:after="0" w:before="0"/>
            </w:pPr>
            <w:r>
              <w:rPr>
                <w:rFonts w:ascii="Arial" w:cs="Arial" w:eastAsia="Arial" w:hAnsi="Arial"/>
                <w:i/>
                <w:iCs/>
                <w:color w:val="AA2200"/>
                <w:sz w:val="18"/>
                <w:szCs w:val="18"/>
              </w:rPr>
              <w:t xml:space="preserve">⚠  The wrong reporting_product_kind on IPC One plans flows into every downstream sales and advisor report.</w:t>
            </w:r>
          </w:p>
        </w:tc>
        <w:tc>
          <w:tcPr>
            <w:tcW w:type="dxa" w:w="3120"/>
            <w:tcBorders>
              <w:top w:val="single" w:color="DDDDDD" w:sz="2"/>
              <w:left w:val="single" w:color="DDDDDD" w:sz="2"/>
              <w:bottom w:val="single" w:color="DDDDDD" w:sz="2"/>
              <w:right w:val="single" w:color="DDDDDD" w:sz="2"/>
            </w:tcBorders>
            <w:shd w:fill="F4F4F4" w:val="clear"/>
            <w:tcMar>
              <w:top w:type="dxa" w:w="160"/>
              <w:left w:type="dxa" w:w="180"/>
              <w:bottom w:type="dxa" w:w="160"/>
              <w:right w:type="dxa" w:w="180"/>
            </w:tcMar>
          </w:tcPr>
          <w:p>
            <w:pPr>
              <w:spacing w:after="80" w:before="0"/>
            </w:pPr>
            <w:r>
              <w:rPr>
                <w:rFonts w:ascii="Arial" w:cs="Arial" w:eastAsia="Arial" w:hAnsi="Arial"/>
                <w:b/>
                <w:bCs/>
                <w:color w:val="C41230"/>
                <w:sz w:val="19"/>
                <w:szCs w:val="19"/>
              </w:rPr>
              <w:t xml:space="preserve">fact_wealth_sales</w:t>
            </w:r>
          </w:p>
          <w:p>
            <w:pPr>
              <w:spacing w:after="60" w:before="0"/>
            </w:pPr>
            <w:r>
              <w:rPr>
                <w:rFonts w:ascii="Arial" w:cs="Arial" w:eastAsia="Arial" w:hAnsi="Arial"/>
                <w:b/>
                <w:bCs/>
                <w:color w:val="1A1A1A"/>
                <w:sz w:val="19"/>
                <w:szCs w:val="19"/>
              </w:rPr>
              <w:t xml:space="preserve">Mutual Fund Internal Transfer ±3 Day Window (FWS-013/014/015)</w:t>
            </w:r>
          </w:p>
          <w:p>
            <w:pPr>
              <w:spacing w:after="60" w:before="0"/>
            </w:pPr>
            <w:r>
              <w:rPr>
                <w:rFonts w:ascii="Arial" w:cs="Arial" w:eastAsia="Arial" w:hAnsi="Arial"/>
                <w:color w:val="333333"/>
                <w:sz w:val="19"/>
                <w:szCs w:val="19"/>
              </w:rPr>
              <w:t xml:space="preserve">Internal transfers must match on: same advisor, same quadrus_plan_system_identifier, amounts within rounding, and transaction date within ±3 days. 4 valid transfer type classifications. Any record outside Mutual Funds post-2018 must get the default dash. Boundary-date records are the silent failure point.</w:t>
            </w:r>
          </w:p>
          <w:p>
            <w:pPr>
              <w:spacing w:after="0" w:before="0"/>
            </w:pPr>
            <w:r>
              <w:rPr>
                <w:rFonts w:ascii="Arial" w:cs="Arial" w:eastAsia="Arial" w:hAnsi="Arial"/>
                <w:i/>
                <w:iCs/>
                <w:color w:val="AA2200"/>
                <w:sz w:val="18"/>
                <w:szCs w:val="18"/>
              </w:rPr>
              <w:t xml:space="preserve">⚠  A misclassified transfer type changes the net cash flow calculation — a financial figure the business acts on.</w:t>
            </w:r>
          </w:p>
        </w:tc>
      </w:tr>
    </w:tbl>
    <w:p>
      <w:pPr>
        <w:spacing w:after="0" w:before="160"/>
      </w:pPr>
      <w:r>
        <w:t xml:space="preserve"/>
      </w:r>
    </w:p>
    <w:p>
      <w:pPr>
        <w:spacing w:after="100" w:before="80"/>
      </w:pPr>
      <w:r>
        <w:rPr>
          <w:rFonts w:ascii="Arial" w:cs="Arial" w:eastAsia="Arial" w:hAnsi="Arial"/>
          <w:color w:val="333333"/>
          <w:sz w:val="21"/>
          <w:szCs w:val="21"/>
        </w:rPr>
        <w:t xml:space="preserve">None of these were caught by spot-checking. All three were caught by the test suite. And all three were fixed before the tables went to production.</w:t>
      </w:r>
    </w:p>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2 — Three Documents That Are Supposed to Agree</w:t>
      </w:r>
    </w:p>
    <w:p>
      <w:pPr>
        <w:spacing w:after="100" w:before="80"/>
      </w:pPr>
      <w:r>
        <w:rPr>
          <w:rFonts w:ascii="Arial" w:cs="Arial" w:eastAsia="Arial" w:hAnsi="Arial"/>
          <w:color w:val="333333"/>
          <w:sz w:val="21"/>
          <w:szCs w:val="21"/>
        </w:rPr>
        <w:t xml:space="preserve">Every ETL project generates three documents. The mapping sheet defines what should happen — source column, destination column, transformation rule. The design document describes the business intent behind each rule. The code implements it in SQL or PySpark. In theory, all three say the same thing in different languages.</w:t>
      </w:r>
    </w:p>
    <w:p>
      <w:pPr>
        <w:spacing w:after="0" w:before="60"/>
      </w:pPr>
      <w:r>
        <w:t xml:space="preserve"/>
      </w:r>
    </w:p>
    <w:p>
      <w:pPr>
        <w:spacing w:after="100" w:before="80"/>
      </w:pPr>
      <w:r>
        <w:rPr>
          <w:rFonts w:ascii="Arial" w:cs="Arial" w:eastAsia="Arial" w:hAnsi="Arial"/>
          <w:color w:val="333333"/>
          <w:sz w:val="21"/>
          <w:szCs w:val="21"/>
        </w:rPr>
        <w:t xml:space="preserve">In practice, by the time the code is deployed, small gaps have crept in. A CASE statement with six branches where the spec described four. A NULL handling rule that works differently in the script than in the mapping sheet. A business rule that the developer interpreted one way and the BA intended another. Not because anyone was careless. Because the gap is structural — the knowledge is distributed across three formats, written by different people at different times.</w:t>
      </w:r>
    </w:p>
    <w:p>
      <w:pPr>
        <w:spacing w:after="0" w:before="80"/>
      </w:pPr>
      <w:r>
        <w:t xml:space="preserve"/>
      </w:r>
    </w:p>
    <w:p>
      <w:pPr>
        <w:spacing w:after="100" w:before="80"/>
      </w:pPr>
      <w:r>
        <w:rPr>
          <w:rFonts w:ascii="Arial" w:cs="Arial" w:eastAsia="Arial" w:hAnsi="Arial"/>
          <w:color w:val="333333"/>
          <w:sz w:val="21"/>
          <w:szCs w:val="21"/>
        </w:rPr>
        <w:t xml:space="preserve">Proving the three documents agree requires systematically cross-referencing them — every column, every transformation rule, every edge condition. That is not a task a human can do in a few hours. It is a task that needs a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14"/>
              <w:bottom w:val="single" w:color="DDDDDD" w:sz="2"/>
              <w:right w:val="single" w:color="DDDDDD" w:sz="2"/>
            </w:tcBorders>
            <w:shd w:fill="F4F4F4" w:val="clear"/>
            <w:tcMar>
              <w:top w:type="dxa" w:w="160"/>
              <w:left w:type="dxa" w:w="280"/>
              <w:bottom w:type="dxa" w:w="160"/>
              <w:right w:type="dxa" w:w="240"/>
            </w:tcMar>
          </w:tcPr>
          <w:p>
            <w:pPr>
              <w:spacing w:after="80" w:before="0"/>
            </w:pPr>
            <w:r>
              <w:rPr>
                <w:rFonts w:ascii="Arial" w:cs="Arial" w:eastAsia="Arial" w:hAnsi="Arial"/>
                <w:b/>
                <w:bCs/>
                <w:color w:val="1A1A1A"/>
                <w:sz w:val="22"/>
                <w:szCs w:val="22"/>
              </w:rPr>
              <w:t xml:space="preserve">The Manual Reality — Before the Agent</w:t>
            </w:r>
          </w:p>
          <w:p>
            <w:pPr>
              <w:spacing w:after="40" w:before="40"/>
            </w:pPr>
            <w:r>
              <w:rPr>
                <w:rFonts w:ascii="Arial" w:cs="Arial" w:eastAsia="Arial" w:hAnsi="Arial"/>
                <w:color w:val="1A1A1A"/>
                <w:sz w:val="20"/>
                <w:szCs w:val="20"/>
              </w:rPr>
              <w:t xml:space="preserve">The BA opens the mapping sheet. Reads the IPC-to-IDM matching rules for dimension_advisor.</w:t>
            </w:r>
          </w:p>
          <w:p>
            <w:pPr>
              <w:spacing w:after="40" w:before="40"/>
            </w:pPr>
            <w:r>
              <w:rPr>
                <w:rFonts w:ascii="Arial" w:cs="Arial" w:eastAsia="Arial" w:hAnsi="Arial"/>
                <w:color w:val="1A1A1A"/>
                <w:sz w:val="20"/>
                <w:szCs w:val="20"/>
              </w:rPr>
              <w:t xml:space="preserve">Writes a query to check if SIN + surname match produces the right identifier. Tests the happy path.</w:t>
            </w:r>
          </w:p>
          <w:p>
            <w:pPr>
              <w:spacing w:after="40" w:before="40"/>
            </w:pPr>
            <w:r>
              <w:rPr>
                <w:rFonts w:ascii="Arial" w:cs="Arial" w:eastAsia="Arial" w:hAnsi="Arial"/>
                <w:color w:val="1A1A1A"/>
                <w:sz w:val="20"/>
                <w:szCs w:val="20"/>
              </w:rPr>
              <w:t xml:space="preserve">Nobody writes the test for: what happens when SIN matches but surname does not?</w:t>
            </w:r>
          </w:p>
          <w:p>
            <w:pPr>
              <w:spacing w:after="40" w:before="40"/>
            </w:pPr>
            <w:r>
              <w:rPr>
                <w:rFonts w:ascii="Arial" w:cs="Arial" w:eastAsia="Arial" w:hAnsi="Arial"/>
                <w:color w:val="1A1A1A"/>
                <w:sz w:val="20"/>
                <w:szCs w:val="20"/>
              </w:rPr>
              <w:t xml:space="preserve">Nobody writes the test for: what happens when manufacturing_company_code is missing on CLIML002?</w:t>
            </w:r>
          </w:p>
          <w:p>
            <w:pPr>
              <w:spacing w:after="40" w:before="40"/>
            </w:pPr>
            <w:r>
              <w:rPr>
                <w:rFonts w:ascii="Arial" w:cs="Arial" w:eastAsia="Arial" w:hAnsi="Arial"/>
                <w:color w:val="1A1A1A"/>
                <w:sz w:val="20"/>
                <w:szCs w:val="20"/>
              </w:rPr>
              <w:t xml:space="preserve">Nobody writes the test for: what happens to a transfer record that falls on exactly day +3?</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Result: 6 to 8 ad-hoc queries per table. The obvious paths covered. The edge cases left to chance.</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Time spent: half a day to a full day per table. Failed record detail: none.</w:t>
            </w:r>
          </w:p>
          <w:p>
            <w:pPr>
              <w:spacing w:after="40" w:before="40"/>
            </w:pPr>
            <w:r>
              <w:rPr>
                <w:rFonts w:ascii="Arial" w:cs="Arial" w:eastAsia="Arial" w:hAnsi="Arial"/>
                <w:color w:val="1A1A1A"/>
                <w:sz w:val="20"/>
                <w:szCs w:val="20"/>
              </w:rPr>
              <w:t xml:space="preserve">Business-readable report: none. Reusable when script changes: no.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C412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The Manual Reality</w:t>
            </w:r>
          </w:p>
        </w:tc>
        <w:tc>
          <w:tcPr>
            <w:tcW w:type="dxa" w:w="4680"/>
            <w:tcBorders>
              <w:top w:val="single" w:color="DDDDDD" w:sz="1"/>
              <w:left w:val="single" w:color="DDDDDD" w:sz="1"/>
              <w:bottom w:val="single" w:color="DDDDDD" w:sz="1"/>
              <w:right w:val="single" w:color="DDDDDD" w:sz="1"/>
            </w:tcBorders>
            <w:shd w:fill="C412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 Table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1A"/>
                <w:sz w:val="20"/>
                <w:szCs w:val="20"/>
              </w:rPr>
              <w:t xml:space="preserve">Time to write test cases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Half to full day</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left"/>
            </w:pPr>
            <w:r>
              <w:rPr>
                <w:rFonts w:ascii="Arial" w:cs="Arial" w:eastAsia="Arial" w:hAnsi="Arial"/>
                <w:b/>
                <w:bCs/>
                <w:color w:val="1A1A1A"/>
                <w:sz w:val="20"/>
                <w:szCs w:val="20"/>
              </w:rPr>
              <w:t xml:space="preserve">Test scenarios produced</w:t>
            </w:r>
          </w:p>
        </w:tc>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6 –8</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1A"/>
                <w:sz w:val="20"/>
                <w:szCs w:val="20"/>
              </w:rPr>
              <w:t xml:space="preserve">Transformation patterns systematically covered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3–4 out of 17+</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left"/>
            </w:pPr>
            <w:r>
              <w:rPr>
                <w:rFonts w:ascii="Arial" w:cs="Arial" w:eastAsia="Arial" w:hAnsi="Arial"/>
                <w:b/>
                <w:bCs/>
                <w:color w:val="1A1A1A"/>
                <w:sz w:val="20"/>
                <w:szCs w:val="20"/>
              </w:rPr>
              <w:t xml:space="preserve">Failed record detail available</w:t>
            </w:r>
          </w:p>
        </w:tc>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None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1A"/>
                <w:sz w:val="20"/>
                <w:szCs w:val="20"/>
              </w:rPr>
              <w:t xml:space="preserve">Business-readable report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None</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left"/>
            </w:pPr>
            <w:r>
              <w:rPr>
                <w:rFonts w:ascii="Arial" w:cs="Arial" w:eastAsia="Arial" w:hAnsi="Arial"/>
                <w:b/>
                <w:bCs/>
                <w:color w:val="1A1A1A"/>
                <w:sz w:val="20"/>
                <w:szCs w:val="20"/>
              </w:rPr>
              <w:t xml:space="preserve">Reusable when script changes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No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1A1A1A"/>
                <w:sz w:val="20"/>
                <w:szCs w:val="20"/>
              </w:rPr>
              <w:t xml:space="preserve">Who owned the test suite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1A"/>
                <w:sz w:val="20"/>
                <w:szCs w:val="20"/>
              </w:rPr>
              <w:t xml:space="preserve">Nobody, consistently</w:t>
            </w:r>
          </w:p>
        </w:tc>
      </w:tr>
    </w:tbl>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3 — What If the BA Could Write 50 Tests in 20 Minutes?</w:t>
      </w:r>
    </w:p>
    <w:p>
      <w:pPr>
        <w:spacing w:after="100" w:before="80"/>
      </w:pPr>
      <w:r>
        <w:rPr>
          <w:rFonts w:ascii="Arial" w:cs="Arial" w:eastAsia="Arial" w:hAnsi="Arial"/>
          <w:color w:val="333333"/>
          <w:sz w:val="21"/>
          <w:szCs w:val="21"/>
        </w:rPr>
        <w:t xml:space="preserve">The inputs already existed. The ETL script was in Databricks. The mapping sheet was in SharePoint. The design document was in the project folder. The knowledge needed to write comprehensive test cases was sitting inside those three documents — what was missing was a systematic way to extract it and turn it into executable validation queries.</w:t>
      </w:r>
    </w:p>
    <w:p>
      <w:pPr>
        <w:spacing w:after="0" w:before="60"/>
      </w:pPr>
      <w:r>
        <w:t xml:space="preserve"/>
      </w:r>
    </w:p>
    <w:p>
      <w:pPr>
        <w:spacing w:after="100" w:before="80"/>
      </w:pPr>
      <w:r>
        <w:rPr>
          <w:rFonts w:ascii="Arial" w:cs="Arial" w:eastAsia="Arial" w:hAnsi="Arial"/>
          <w:color w:val="333333"/>
          <w:sz w:val="21"/>
          <w:szCs w:val="21"/>
        </w:rPr>
        <w:t xml:space="preserve">Copilot had already proved it could read structured documents and reason about their contents. The question was whether it could go one step further — not just understand a transformation, but generate a SQL query that would prove whether that transformation was working correctly against a live Databricks table, with real production data.</w:t>
      </w:r>
    </w:p>
    <w:p>
      <w:pPr>
        <w:spacing w:after="0" w:before="80"/>
      </w:pPr>
      <w:r>
        <w:t xml:space="preserve"/>
      </w:r>
    </w:p>
    <w:p>
      <w:pPr>
        <w:spacing w:after="100" w:before="80"/>
      </w:pPr>
      <w:r>
        <w:rPr>
          <w:rFonts w:ascii="Arial" w:cs="Arial" w:eastAsia="Arial" w:hAnsi="Arial"/>
          <w:color w:val="333333"/>
          <w:sz w:val="21"/>
          <w:szCs w:val="21"/>
        </w:rPr>
        <w:t xml:space="preserve">The answer was yes. But getting there required something the team had learned from their earlier work: Copilot needed precise instructions, a clear structure, and a defined standard for what a good test case looked like. So they built an agent. And they built it using Copilot.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230" w:sz="2"/>
              <w:left w:val="single" w:color="C41230" w:sz="24"/>
              <w:bottom w:val="single" w:color="C41230" w:sz="2"/>
              <w:right w:val="single" w:color="C41230" w:sz="2"/>
            </w:tcBorders>
            <w:shd w:fill="FBF0F2" w:val="clear"/>
            <w:tcMar>
              <w:top w:type="dxa" w:w="180"/>
              <w:left w:type="dxa" w:w="280"/>
              <w:bottom w:type="dxa" w:w="180"/>
              <w:right w:type="dxa" w:w="240"/>
            </w:tcMar>
          </w:tcPr>
          <w:p>
            <w:pPr>
              <w:spacing w:after="100" w:before="0"/>
            </w:pPr>
            <w:r>
              <w:rPr>
                <w:rFonts w:ascii="Arial" w:cs="Arial" w:eastAsia="Arial" w:hAnsi="Arial"/>
                <w:b/>
                <w:bCs/>
                <w:color w:val="C41230"/>
                <w:sz w:val="22"/>
                <w:szCs w:val="22"/>
              </w:rPr>
              <w:t xml:space="preserve">💡  The Core Idea — In One Sentence</w:t>
            </w:r>
          </w:p>
          <w:p>
            <w:pPr>
              <w:spacing w:after="40" w:before="40"/>
            </w:pPr>
            <w:r>
              <w:rPr>
                <w:rFonts w:ascii="Arial" w:cs="Arial" w:eastAsia="Arial" w:hAnsi="Arial"/>
                <w:color w:val="1A1A1A"/>
                <w:sz w:val="20"/>
                <w:szCs w:val="20"/>
              </w:rPr>
              <w:t xml:space="preserve">Feed the agent the ETL script and the mapping sheet.</w:t>
            </w:r>
          </w:p>
          <w:p>
            <w:pPr>
              <w:spacing w:after="40" w:before="40"/>
            </w:pPr>
            <w:r>
              <w:rPr>
                <w:rFonts w:ascii="Arial" w:cs="Arial" w:eastAsia="Arial" w:hAnsi="Arial"/>
                <w:color w:val="1A1A1A"/>
                <w:sz w:val="20"/>
                <w:szCs w:val="20"/>
              </w:rPr>
              <w:t xml:space="preserve">It reads both, identifies every transformation pattern, proposes a test plan for your approval,</w:t>
            </w:r>
          </w:p>
          <w:p>
            <w:pPr>
              <w:spacing w:after="40" w:before="40"/>
            </w:pPr>
            <w:r>
              <w:rPr>
                <w:rFonts w:ascii="Arial" w:cs="Arial" w:eastAsia="Arial" w:hAnsi="Arial"/>
                <w:color w:val="1A1A1A"/>
                <w:sz w:val="20"/>
                <w:szCs w:val="20"/>
              </w:rPr>
              <w:t xml:space="preserve">and generates a complete, import-ready Databricks notebook — 50 to 60 tests, ready to run.</w:t>
            </w:r>
          </w:p>
        </w:tc>
      </w:tr>
    </w:tbl>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4 — Building the Agent: Copilot Writing Its Own Test Logic</w:t>
      </w:r>
    </w:p>
    <w:p>
      <w:pPr>
        <w:spacing w:after="100" w:before="80"/>
      </w:pPr>
      <w:r>
        <w:rPr>
          <w:rFonts w:ascii="Arial" w:cs="Arial" w:eastAsia="Arial" w:hAnsi="Arial"/>
          <w:color w:val="333333"/>
          <w:sz w:val="21"/>
          <w:szCs w:val="21"/>
        </w:rPr>
        <w:t xml:space="preserve">The agent prompt was the product. A 1,500-line instruction set written in plain English, defining exactly how the agent should read an ETL script, plan a test suite, and generate a Databricks notebook. It was built iteratively — the team tested a version, observed where it got confused, described the issue to Copilot, and asked it to refine the instruction. Copilot built the agent that Copilot would become.</w:t>
      </w:r>
    </w:p>
    <w:p>
      <w:pPr>
        <w:spacing w:after="0" w:before="80"/>
      </w:pPr>
      <w:r>
        <w:t xml:space="preserve"/>
      </w:r>
    </w:p>
    <w:p>
      <w:pPr>
        <w:spacing w:after="100" w:before="80"/>
      </w:pPr>
      <w:r>
        <w:rPr>
          <w:rFonts w:ascii="Arial" w:cs="Arial" w:eastAsia="Arial" w:hAnsi="Arial"/>
          <w:color w:val="333333"/>
          <w:sz w:val="21"/>
          <w:szCs w:val="21"/>
        </w:rPr>
        <w:t xml:space="preserve">The agent worked in three phases, with a deliberate pause for human approval between Phase 1 and Phase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C41230"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01</w:t>
            </w:r>
          </w:p>
        </w:tc>
        <w:tc>
          <w:tcPr>
            <w:tcW w:type="dxa" w:w="8680"/>
            <w:tcBorders>
              <w:top w:val="single" w:color="DDDDDD" w:sz="1"/>
              <w:left w:val="none" w:color="FFFFFF" w:sz="0"/>
              <w:bottom w:val="single" w:color="DDDDDD" w:sz="1"/>
              <w:right w:val="single" w:color="DDDDDD" w:sz="1"/>
            </w:tcBorders>
            <w:shd w:fill="EFEFEF" w:val="clear"/>
            <w:tcMar>
              <w:top w:type="dxa" w:w="120"/>
              <w:left w:type="dxa" w:w="200"/>
              <w:bottom w:type="dxa" w:w="120"/>
              <w:right w:type="dxa" w:w="160"/>
            </w:tcMar>
          </w:tcPr>
          <w:p>
            <w:pPr>
              <w:spacing w:after="60" w:before="0"/>
            </w:pPr>
            <w:r>
              <w:rPr>
                <w:rFonts w:ascii="Arial" w:cs="Arial" w:eastAsia="Arial" w:hAnsi="Arial"/>
                <w:b/>
                <w:bCs/>
                <w:color w:val="A01028"/>
                <w:sz w:val="22"/>
                <w:szCs w:val="22"/>
              </w:rPr>
              <w:t xml:space="preserve">Script Analysis — Read Everything, Miss Nothing</w:t>
            </w:r>
          </w:p>
          <w:p>
            <w:pPr>
              <w:spacing w:after="0" w:before="0"/>
            </w:pPr>
            <w:r>
              <w:rPr>
                <w:rFonts w:ascii="Arial" w:cs="Arial" w:eastAsia="Arial" w:hAnsi="Arial"/>
                <w:color w:val="333333"/>
                <w:sz w:val="20"/>
                <w:szCs w:val="20"/>
              </w:rPr>
              <w:t xml:space="preserve">The agent reads the ETL script and mapping sheet simultaneously. It identifies source tables, the target table, all column mappings, and 17+ transformation pattern types — CASE statements, JOIN logic, COALESCE defaults, standardize functions, NULL handling, date calculations, priority hierarchies, deduplication rules, boolean flags, aggregations, and more. For each pattern found, it records what it detected, which columns are involved, and what kind of test is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C41230"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02</w:t>
            </w:r>
          </w:p>
        </w:tc>
        <w:tc>
          <w:tcPr>
            <w:tcW w:type="dxa" w:w="8680"/>
            <w:tcBorders>
              <w:top w:val="single" w:color="DDDDDD" w:sz="1"/>
              <w:left w:val="none" w:color="FFFFFF" w:sz="0"/>
              <w:bottom w:val="single" w:color="DDDDDD" w:sz="1"/>
              <w:right w:val="single" w:color="DDDDDD" w:sz="1"/>
            </w:tcBorders>
            <w:shd w:fill="EFEFEF" w:val="clear"/>
            <w:tcMar>
              <w:top w:type="dxa" w:w="120"/>
              <w:left w:type="dxa" w:w="200"/>
              <w:bottom w:type="dxa" w:w="120"/>
              <w:right w:type="dxa" w:w="160"/>
            </w:tcMar>
          </w:tcPr>
          <w:p>
            <w:pPr>
              <w:spacing w:after="60" w:before="0"/>
            </w:pPr>
            <w:r>
              <w:rPr>
                <w:rFonts w:ascii="Arial" w:cs="Arial" w:eastAsia="Arial" w:hAnsi="Arial"/>
                <w:b/>
                <w:bCs/>
                <w:color w:val="A01028"/>
                <w:sz w:val="22"/>
                <w:szCs w:val="22"/>
              </w:rPr>
              <w:t xml:space="preserve">Test Plan — Propose Before You Build</w:t>
            </w:r>
          </w:p>
          <w:p>
            <w:pPr>
              <w:spacing w:after="0" w:before="0"/>
            </w:pPr>
            <w:r>
              <w:rPr>
                <w:rFonts w:ascii="Arial" w:cs="Arial" w:eastAsia="Arial" w:hAnsi="Arial"/>
                <w:color w:val="333333"/>
                <w:sz w:val="20"/>
                <w:szCs w:val="20"/>
              </w:rPr>
              <w:t xml:space="preserve">Before writing a single line of test code, the agent produces a structured test plan — categories, priority levels (CRITICAL / HIGH / MEDIUM), estimated test count, and a description of each test. The BA reviews it. Adjusts if needed. Approves. This step is deliberate: it makes the BA the owner of the test scope, not just a consumer of output.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C41230" w:val="clear"/>
            <w:tcMar>
              <w:top w:type="dxa" w:w="140"/>
              <w:left w:type="dxa" w:w="100"/>
              <w:bottom w:type="dxa" w:w="140"/>
              <w:right w:type="dxa" w:w="100"/>
            </w:tcMar>
          </w:tcPr>
          <w:p>
            <w:pPr>
              <w:jc w:val="center"/>
            </w:pPr>
            <w:r>
              <w:rPr>
                <w:rFonts w:ascii="Arial" w:cs="Arial" w:eastAsia="Arial" w:hAnsi="Arial"/>
                <w:b/>
                <w:bCs/>
                <w:color w:val="FFFFFF"/>
                <w:sz w:val="28"/>
                <w:szCs w:val="28"/>
              </w:rPr>
              <w:t xml:space="preserve">03</w:t>
            </w:r>
          </w:p>
        </w:tc>
        <w:tc>
          <w:tcPr>
            <w:tcW w:type="dxa" w:w="8680"/>
            <w:tcBorders>
              <w:top w:val="single" w:color="DDDDDD" w:sz="1"/>
              <w:left w:val="none" w:color="FFFFFF" w:sz="0"/>
              <w:bottom w:val="single" w:color="DDDDDD" w:sz="1"/>
              <w:right w:val="single" w:color="DDDDDD" w:sz="1"/>
            </w:tcBorders>
            <w:shd w:fill="EFEFEF" w:val="clear"/>
            <w:tcMar>
              <w:top w:type="dxa" w:w="120"/>
              <w:left w:type="dxa" w:w="200"/>
              <w:bottom w:type="dxa" w:w="120"/>
              <w:right w:type="dxa" w:w="160"/>
            </w:tcMar>
          </w:tcPr>
          <w:p>
            <w:pPr>
              <w:spacing w:after="60" w:before="0"/>
            </w:pPr>
            <w:r>
              <w:rPr>
                <w:rFonts w:ascii="Arial" w:cs="Arial" w:eastAsia="Arial" w:hAnsi="Arial"/>
                <w:b/>
                <w:bCs/>
                <w:color w:val="A01028"/>
                <w:sz w:val="22"/>
                <w:szCs w:val="22"/>
              </w:rPr>
              <w:t xml:space="preserve">Notebook Generation — One File, Ready to Run</w:t>
            </w:r>
          </w:p>
          <w:p>
            <w:pPr>
              <w:spacing w:after="0" w:before="0"/>
            </w:pPr>
            <w:r>
              <w:rPr>
                <w:rFonts w:ascii="Arial" w:cs="Arial" w:eastAsia="Arial" w:hAnsi="Arial"/>
                <w:color w:val="333333"/>
                <w:sz w:val="20"/>
                <w:szCs w:val="20"/>
              </w:rPr>
              <w:t xml:space="preserve">With the plan approved, the agent generates a complete Python file in Databricks notebook format. Same five-cell structure every time. Import it, click Run All, results appear. No modification required. No setup time. No debugging the tests before you can run them.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14"/>
              <w:bottom w:val="single" w:color="DDDDDD" w:sz="2"/>
              <w:right w:val="single" w:color="DDDDDD" w:sz="2"/>
            </w:tcBorders>
            <w:shd w:fill="F4F4F4" w:val="clear"/>
            <w:tcMar>
              <w:top w:type="dxa" w:w="160"/>
              <w:left w:type="dxa" w:w="280"/>
              <w:bottom w:type="dxa" w:w="160"/>
              <w:right w:type="dxa" w:w="240"/>
            </w:tcMar>
          </w:tcPr>
          <w:p>
            <w:pPr>
              <w:spacing w:after="80" w:before="0"/>
            </w:pPr>
            <w:r>
              <w:rPr>
                <w:rFonts w:ascii="Arial" w:cs="Arial" w:eastAsia="Arial" w:hAnsi="Arial"/>
                <w:b/>
                <w:bCs/>
                <w:color w:val="1A1A1A"/>
                <w:sz w:val="22"/>
                <w:szCs w:val="22"/>
              </w:rPr>
              <w:t xml:space="preserve">What Are the 17 Transformation Pattern Types? (Plain Language)</w:t>
            </w:r>
          </w:p>
          <w:p>
            <w:pPr>
              <w:spacing w:after="40" w:before="40"/>
            </w:pPr>
            <w:r>
              <w:rPr>
                <w:rFonts w:ascii="Arial" w:cs="Arial" w:eastAsia="Arial" w:hAnsi="Arial"/>
                <w:color w:val="1A1A1A"/>
                <w:sz w:val="20"/>
                <w:szCs w:val="20"/>
              </w:rPr>
              <w:t xml:space="preserve">When an ETL script transforms data, it does so using recognisable techniques.</w:t>
            </w:r>
          </w:p>
          <w:p>
            <w:pPr>
              <w:spacing w:after="40" w:before="40"/>
            </w:pPr>
            <w:r>
              <w:rPr>
                <w:rFonts w:ascii="Arial" w:cs="Arial" w:eastAsia="Arial" w:hAnsi="Arial"/>
                <w:color w:val="1A1A1A"/>
                <w:sz w:val="20"/>
                <w:szCs w:val="20"/>
              </w:rPr>
              <w:t xml:space="preserve">Each technique has a name, and each name tells you exactly what kind of test it needs.</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CASE statement → Branch coverage tests: one test per branch, one per ELSE condition.</w:t>
            </w:r>
          </w:p>
          <w:p>
            <w:pPr>
              <w:spacing w:after="40" w:before="40"/>
            </w:pPr>
            <w:r>
              <w:rPr>
                <w:rFonts w:ascii="Arial" w:cs="Arial" w:eastAsia="Arial" w:hAnsi="Arial"/>
                <w:color w:val="1A1A1A"/>
                <w:sz w:val="20"/>
                <w:szCs w:val="20"/>
              </w:rPr>
              <w:t xml:space="preserve">COALESCE / ISNULL → Null-path tests: verify the default appears when the primary is absent.</w:t>
            </w:r>
          </w:p>
          <w:p>
            <w:pPr>
              <w:spacing w:after="40" w:before="40"/>
            </w:pPr>
            <w:r>
              <w:rPr>
                <w:rFonts w:ascii="Arial" w:cs="Arial" w:eastAsia="Arial" w:hAnsi="Arial"/>
                <w:color w:val="1A1A1A"/>
                <w:sz w:val="20"/>
                <w:szCs w:val="20"/>
              </w:rPr>
              <w:t xml:space="preserve">JOIN logic → Referential integrity tests: verify every key finds a match in the lookup table.</w:t>
            </w:r>
          </w:p>
          <w:p>
            <w:pPr>
              <w:spacing w:after="40" w:before="40"/>
            </w:pPr>
            <w:r>
              <w:rPr>
                <w:rFonts w:ascii="Arial" w:cs="Arial" w:eastAsia="Arial" w:hAnsi="Arial"/>
                <w:color w:val="1A1A1A"/>
                <w:sz w:val="20"/>
                <w:szCs w:val="20"/>
              </w:rPr>
              <w:t xml:space="preserve">Priority hierarchy → Fallback tests: one test per level, verifying each fallback fires correctly.</w:t>
            </w:r>
          </w:p>
          <w:p>
            <w:pPr>
              <w:spacing w:after="40" w:before="40"/>
            </w:pPr>
            <w:r>
              <w:rPr>
                <w:rFonts w:ascii="Arial" w:cs="Arial" w:eastAsia="Arial" w:hAnsi="Arial"/>
                <w:color w:val="1A1A1A"/>
                <w:sz w:val="20"/>
                <w:szCs w:val="20"/>
              </w:rPr>
              <w:t xml:space="preserve">Standardize functions → Default and format tests: null becomes dash, whitespace is trimmed.</w:t>
            </w:r>
          </w:p>
          <w:p>
            <w:pPr>
              <w:spacing w:after="40" w:before="40"/>
            </w:pPr>
            <w:r>
              <w:rPr>
                <w:rFonts w:ascii="Arial" w:cs="Arial" w:eastAsia="Arial" w:hAnsi="Arial"/>
                <w:color w:val="1A1A1A"/>
                <w:sz w:val="20"/>
                <w:szCs w:val="20"/>
              </w:rPr>
              <w:t xml:space="preserve">Date calculations → Boundary tests: verify edge dates (start, end, exact cutoff) behave correctly.</w:t>
            </w:r>
          </w:p>
          <w:p>
            <w:pPr>
              <w:spacing w:after="40" w:before="40"/>
            </w:pPr>
            <w:r>
              <w:rPr>
                <w:rFonts w:ascii="Arial" w:cs="Arial" w:eastAsia="Arial" w:hAnsi="Arial"/>
                <w:color w:val="1A1A1A"/>
                <w:sz w:val="20"/>
                <w:szCs w:val="20"/>
              </w:rPr>
              <w:t xml:space="preserve">Deduplication rules → Uniqueness tests: verify primary key has no duplicates.</w:t>
            </w:r>
          </w:p>
          <w:p>
            <w:pPr>
              <w:spacing w:after="40" w:before="40"/>
            </w:pPr>
            <w:r>
              <w:rPr>
                <w:rFonts w:ascii="Arial" w:cs="Arial" w:eastAsia="Arial" w:hAnsi="Arial"/>
                <w:color w:val="1A1A1A"/>
                <w:sz w:val="20"/>
                <w:szCs w:val="20"/>
              </w:rPr>
              <w:t xml:space="preserve">...and 10 more pattern types, each with its own test template.</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The agent knew all 17. When it found a CASE statement with 6 branches, it generated 6 tests.</w:t>
            </w:r>
          </w:p>
          <w:p>
            <w:pPr>
              <w:spacing w:after="40" w:before="40"/>
            </w:pPr>
            <w:r>
              <w:rPr>
                <w:rFonts w:ascii="Arial" w:cs="Arial" w:eastAsia="Arial" w:hAnsi="Arial"/>
                <w:color w:val="1A1A1A"/>
                <w:sz w:val="20"/>
                <w:szCs w:val="20"/>
              </w:rPr>
              <w:t xml:space="preserve">When it found a 4-level priority hierarchy, it generated 4 tests. No human had to decide.</w:t>
            </w:r>
          </w:p>
          <w:p>
            <w:pPr>
              <w:spacing w:after="40" w:before="40"/>
            </w:pPr>
            <w:r>
              <w:rPr>
                <w:rFonts w:ascii="Arial" w:cs="Arial" w:eastAsia="Arial" w:hAnsi="Arial"/>
                <w:color w:val="1A1A1A"/>
                <w:sz w:val="20"/>
                <w:szCs w:val="20"/>
              </w:rPr>
              <w:t xml:space="preserve">The pattern determined the coverage.</w:t>
            </w:r>
          </w:p>
        </w:tc>
      </w:tr>
    </w:tbl>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5 — The Notebook That Changed the Sign-Off Meeting</w:t>
      </w:r>
    </w:p>
    <w:p>
      <w:pPr>
        <w:spacing w:after="100" w:before="80"/>
      </w:pPr>
      <w:r>
        <w:rPr>
          <w:rFonts w:ascii="Arial" w:cs="Arial" w:eastAsia="Arial" w:hAnsi="Arial"/>
          <w:color w:val="333333"/>
          <w:sz w:val="21"/>
          <w:szCs w:val="21"/>
        </w:rPr>
        <w:t xml:space="preserve">The output was a single Python file — importable into Databricks with one click, runnable with one button. Every table, every time, the same five-cell 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14"/>
              <w:bottom w:val="single" w:color="DDDDDD" w:sz="2"/>
              <w:right w:val="single" w:color="DDDDDD" w:sz="2"/>
            </w:tcBorders>
            <w:shd w:fill="F4F4F4" w:val="clear"/>
            <w:tcMar>
              <w:top w:type="dxa" w:w="160"/>
              <w:left w:type="dxa" w:w="280"/>
              <w:bottom w:type="dxa" w:w="160"/>
              <w:right w:type="dxa" w:w="240"/>
            </w:tcMar>
          </w:tcPr>
          <w:p>
            <w:pPr>
              <w:spacing w:after="80" w:before="0"/>
            </w:pPr>
            <w:r>
              <w:rPr>
                <w:rFonts w:ascii="Arial" w:cs="Arial" w:eastAsia="Arial" w:hAnsi="Arial"/>
                <w:b/>
                <w:bCs/>
                <w:color w:val="1A1A1A"/>
                <w:sz w:val="22"/>
                <w:szCs w:val="22"/>
              </w:rPr>
              <w:t xml:space="preserve">The 5-Cell Notebook Structure</w:t>
            </w:r>
          </w:p>
          <w:p>
            <w:pPr>
              <w:spacing w:after="40" w:before="40"/>
            </w:pPr>
            <w:r>
              <w:rPr>
                <w:rFonts w:ascii="Arial" w:cs="Arial" w:eastAsia="Arial" w:hAnsi="Arial"/>
                <w:color w:val="1A1A1A"/>
                <w:sz w:val="20"/>
                <w:szCs w:val="20"/>
              </w:rPr>
              <w:t xml:space="preserve">Cell 1 — Configuration &amp; Setup</w:t>
            </w:r>
          </w:p>
          <w:p>
            <w:pPr>
              <w:spacing w:after="40" w:before="40"/>
            </w:pPr>
            <w:r>
              <w:rPr>
                <w:rFonts w:ascii="Arial" w:cs="Arial" w:eastAsia="Arial" w:hAnsi="Arial"/>
                <w:color w:val="1A1A1A"/>
                <w:sz w:val="20"/>
                <w:szCs w:val="20"/>
              </w:rPr>
              <w:t xml:space="preserve">         Target table, catalog, schema, test runner framework. All auto-configured from the script.</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Cell 2 — Test Definitions</w:t>
            </w:r>
          </w:p>
          <w:p>
            <w:pPr>
              <w:spacing w:after="40" w:before="40"/>
            </w:pPr>
            <w:r>
              <w:rPr>
                <w:rFonts w:ascii="Arial" w:cs="Arial" w:eastAsia="Arial" w:hAnsi="Arial"/>
                <w:color w:val="1A1A1A"/>
                <w:sz w:val="20"/>
                <w:szCs w:val="20"/>
              </w:rPr>
              <w:t xml:space="preserve">         Every test case: ID, category, priority, full description, SQL validation query.</w:t>
            </w:r>
          </w:p>
          <w:p>
            <w:pPr>
              <w:spacing w:after="40" w:before="40"/>
            </w:pPr>
            <w:r>
              <w:rPr>
                <w:rFonts w:ascii="Arial" w:cs="Arial" w:eastAsia="Arial" w:hAnsi="Arial"/>
                <w:color w:val="1A1A1A"/>
                <w:sz w:val="20"/>
                <w:szCs w:val="20"/>
              </w:rPr>
              <w:t xml:space="preserve">         50 to 60 tests depending on script complexity.</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Cell 3 — Execution &amp; Real-Time Results</w:t>
            </w:r>
          </w:p>
          <w:p>
            <w:pPr>
              <w:spacing w:after="40" w:before="40"/>
            </w:pPr>
            <w:r>
              <w:rPr>
                <w:rFonts w:ascii="Arial" w:cs="Arial" w:eastAsia="Arial" w:hAnsi="Arial"/>
                <w:color w:val="1A1A1A"/>
                <w:sz w:val="20"/>
                <w:szCs w:val="20"/>
              </w:rPr>
              <w:t xml:space="preserve">         Runs all tests. Shows PASSED / FAILED status as each one completes.</w:t>
            </w:r>
          </w:p>
          <w:p>
            <w:pPr>
              <w:spacing w:after="40" w:before="40"/>
            </w:pPr>
            <w:r>
              <w:rPr>
                <w:rFonts w:ascii="Arial" w:cs="Arial" w:eastAsia="Arial" w:hAnsi="Arial"/>
                <w:color w:val="1A1A1A"/>
                <w:sz w:val="20"/>
                <w:szCs w:val="20"/>
              </w:rPr>
              <w:t xml:space="preserve">         For every failed test: the full SQL query that found the failure,</w:t>
            </w:r>
          </w:p>
          <w:p>
            <w:pPr>
              <w:spacing w:after="40" w:before="40"/>
            </w:pPr>
            <w:r>
              <w:rPr>
                <w:rFonts w:ascii="Arial" w:cs="Arial" w:eastAsia="Arial" w:hAnsi="Arial"/>
                <w:color w:val="1A1A1A"/>
                <w:sz w:val="20"/>
                <w:szCs w:val="20"/>
              </w:rPr>
              <w:t xml:space="preserve">         and up to 10 sample records showing exactly which data failed and why.</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Cell 4 — DataFrame Export</w:t>
            </w:r>
          </w:p>
          <w:p>
            <w:pPr>
              <w:spacing w:after="40" w:before="40"/>
            </w:pPr>
            <w:r>
              <w:rPr>
                <w:rFonts w:ascii="Arial" w:cs="Arial" w:eastAsia="Arial" w:hAnsi="Arial"/>
                <w:color w:val="1A1A1A"/>
                <w:sz w:val="20"/>
                <w:szCs w:val="20"/>
              </w:rPr>
              <w:t xml:space="preserve">         Structured results saved for further analysis or historical tracking.</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Cell 5 — Excel Report (3 Sheets)</w:t>
            </w:r>
          </w:p>
          <w:p>
            <w:pPr>
              <w:spacing w:after="40" w:before="40"/>
            </w:pPr>
            <w:r>
              <w:rPr>
                <w:rFonts w:ascii="Arial" w:cs="Arial" w:eastAsia="Arial" w:hAnsi="Arial"/>
                <w:color w:val="1A1A1A"/>
                <w:sz w:val="20"/>
                <w:szCs w:val="20"/>
              </w:rPr>
              <w:t xml:space="preserve">         Sheet 1: Summary — all tests, categories, priorities, pass/fail counts at a glance.</w:t>
            </w:r>
          </w:p>
          <w:p>
            <w:pPr>
              <w:spacing w:after="40" w:before="40"/>
            </w:pPr>
            <w:r>
              <w:rPr>
                <w:rFonts w:ascii="Arial" w:cs="Arial" w:eastAsia="Arial" w:hAnsi="Arial"/>
                <w:color w:val="1A1A1A"/>
                <w:sz w:val="20"/>
                <w:szCs w:val="20"/>
              </w:rPr>
              <w:t xml:space="preserve">         Sheet 2: Failed Queries — full SQL for every failed test, copyable and runnable.</w:t>
            </w:r>
          </w:p>
          <w:p>
            <w:pPr>
              <w:spacing w:after="40" w:before="40"/>
            </w:pPr>
            <w:r>
              <w:rPr>
                <w:rFonts w:ascii="Arial" w:cs="Arial" w:eastAsia="Arial" w:hAnsi="Arial"/>
                <w:color w:val="1A1A1A"/>
                <w:sz w:val="20"/>
                <w:szCs w:val="20"/>
              </w:rPr>
              <w:t xml:space="preserve">         Sheet 3: Failed Records — sample rows per failing test with exact column values.</w:t>
            </w:r>
          </w:p>
        </w:tc>
      </w:tr>
    </w:tbl>
    <w:p>
      <w:pPr>
        <w:spacing w:after="0" w:before="160"/>
      </w:pPr>
      <w:r>
        <w:t xml:space="preserve"/>
      </w:r>
    </w:p>
    <w:p>
      <w:pPr>
        <w:spacing w:after="100" w:before="80"/>
      </w:pPr>
      <w:r>
        <w:rPr>
          <w:rFonts w:ascii="Arial" w:cs="Arial" w:eastAsia="Arial" w:hAnsi="Arial"/>
          <w:color w:val="333333"/>
          <w:sz w:val="21"/>
          <w:szCs w:val="21"/>
        </w:rPr>
        <w:t xml:space="preserve">For dimension_advisor: approximately 50–60 tests built around the IPC-to-IDM matching rules (IPC-MATCH-01 through 03) — SIN plus exact surname match, SIN plus full name match, and the critical exclusion test where SIN matches but name does not and a synthetic UID must be created. Beyond matching: production indicator flags for wealth and compensation channels, territory and RAE/RD assignments, mutual fund licensing aggregation, and primary key integrity checks.</w:t>
      </w:r>
    </w:p>
    <w:p>
      <w:pPr>
        <w:spacing w:after="0" w:before="60"/>
      </w:pPr>
      <w:r>
        <w:t xml:space="preserve"/>
      </w:r>
    </w:p>
    <w:p>
      <w:pPr>
        <w:spacing w:after="100" w:before="80"/>
      </w:pPr>
      <w:r>
        <w:rPr>
          <w:rFonts w:ascii="Arial" w:cs="Arial" w:eastAsia="Arial" w:hAnsi="Arial"/>
          <w:color w:val="333333"/>
          <w:sz w:val="21"/>
          <w:szCs w:val="21"/>
        </w:rPr>
        <w:t xml:space="preserve">For dimension_plan: approximately 50–60 tests anchored on the IPC special product mapping rules (IPC-PROD-01 through 03) — CLIML001 unconditionally mapping to Counsel Retail Mutual Funds, CLIML002 requiring manufacturing_company_code = 'IPC' to map to IPC One, and CLIML003 requiring the same company code check for IPC Private Wealth. Also covering: reporting_product_kind CASE statement branch coverage, French translation flag behaviour, par and non-par product logic, chargeback indicators, and data quality checks.</w:t>
      </w:r>
    </w:p>
    <w:p>
      <w:pPr>
        <w:spacing w:after="0" w:before="60"/>
      </w:pPr>
      <w:r>
        <w:t xml:space="preserve"/>
      </w:r>
    </w:p>
    <w:p>
      <w:pPr>
        <w:spacing w:after="100" w:before="80"/>
      </w:pPr>
      <w:r>
        <w:rPr>
          <w:rFonts w:ascii="Arial" w:cs="Arial" w:eastAsia="Arial" w:hAnsi="Arial"/>
          <w:color w:val="333333"/>
          <w:sz w:val="21"/>
          <w:szCs w:val="21"/>
        </w:rPr>
        <w:t xml:space="preserve">For fact_wealth_sales: approximately 50–60 tests covering the three-condition CLIML sales date cutoff CASE logic, the mutual fund internal transfer matching suite (FWS-013 through 015) — valid transfer type values, Mutual Funds post-2018 scope enforcement, and the quadrus_plan_system_identifier requirement — plus the dealer 9917 advisor SK special rule (leading zero strip, company codes LL and GWL), net cash flow and total sales measure calculations, and the CLIML enterprise SK range check.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7F7F7" w:val="clear"/>
            <w:tcMar>
              <w:top w:type="dxa" w:w="220"/>
              <w:left w:type="dxa" w:w="280"/>
              <w:bottom w:type="dxa" w:w="220"/>
              <w:right w:type="dxa" w:w="280"/>
            </w:tcMar>
          </w:tcPr>
          <w:p>
            <w:pPr>
              <w:spacing w:after="80" w:before="0"/>
              <w:jc w:val="center"/>
            </w:pPr>
            <w:r>
              <w:rPr>
                <w:rFonts w:ascii="Arial" w:cs="Arial" w:eastAsia="Arial" w:hAnsi="Arial"/>
                <w:b/>
                <w:bCs/>
                <w:color w:val="999999"/>
                <w:sz w:val="21"/>
                <w:szCs w:val="21"/>
              </w:rPr>
              <w:t xml:space="preserve">[ SCREENSHOT 1 ]  Copilot Agent — Script Analysis Output</w:t>
            </w:r>
          </w:p>
          <w:p>
            <w:pPr>
              <w:spacing w:after="0" w:before="0"/>
              <w:jc w:val="center"/>
            </w:pPr>
            <w:r>
              <w:rPr>
                <w:rFonts w:ascii="Arial" w:cs="Arial" w:eastAsia="Arial" w:hAnsi="Arial"/>
                <w:i/>
                <w:iCs/>
                <w:color w:val="BBBBBB"/>
                <w:sz w:val="19"/>
                <w:szCs w:val="19"/>
              </w:rPr>
              <w:t xml:space="preserve">Show the Copilot response after reading the ETL script — the detected pattern list and proposed test plan with categories and counts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7F7F7" w:val="clear"/>
            <w:tcMar>
              <w:top w:type="dxa" w:w="220"/>
              <w:left w:type="dxa" w:w="280"/>
              <w:bottom w:type="dxa" w:w="220"/>
              <w:right w:type="dxa" w:w="280"/>
            </w:tcMar>
          </w:tcPr>
          <w:p>
            <w:pPr>
              <w:spacing w:after="80" w:before="0"/>
              <w:jc w:val="center"/>
            </w:pPr>
            <w:r>
              <w:rPr>
                <w:rFonts w:ascii="Arial" w:cs="Arial" w:eastAsia="Arial" w:hAnsi="Arial"/>
                <w:b/>
                <w:bCs/>
                <w:color w:val="999999"/>
                <w:sz w:val="21"/>
                <w:szCs w:val="21"/>
              </w:rPr>
              <w:t xml:space="preserve">[ SCREENSHOT 2 ]  Databricks Notebook — Cell 3 Running</w:t>
            </w:r>
          </w:p>
          <w:p>
            <w:pPr>
              <w:spacing w:after="0" w:before="0"/>
              <w:jc w:val="center"/>
            </w:pPr>
            <w:r>
              <w:rPr>
                <w:rFonts w:ascii="Arial" w:cs="Arial" w:eastAsia="Arial" w:hAnsi="Arial"/>
                <w:i/>
                <w:iCs/>
                <w:color w:val="BBBBBB"/>
                <w:sz w:val="19"/>
                <w:szCs w:val="19"/>
              </w:rPr>
              <w:t xml:space="preserve">Show the real-time PASSED/FAILED output as tests execute, with a failed test expanded showing the SQL and sample failing records inline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7F7F7" w:val="clear"/>
            <w:tcMar>
              <w:top w:type="dxa" w:w="220"/>
              <w:left w:type="dxa" w:w="280"/>
              <w:bottom w:type="dxa" w:w="220"/>
              <w:right w:type="dxa" w:w="280"/>
            </w:tcMar>
          </w:tcPr>
          <w:p>
            <w:pPr>
              <w:spacing w:after="80" w:before="0"/>
              <w:jc w:val="center"/>
            </w:pPr>
            <w:r>
              <w:rPr>
                <w:rFonts w:ascii="Arial" w:cs="Arial" w:eastAsia="Arial" w:hAnsi="Arial"/>
                <w:b/>
                <w:bCs/>
                <w:color w:val="999999"/>
                <w:sz w:val="21"/>
                <w:szCs w:val="21"/>
              </w:rPr>
              <w:t xml:space="preserve">[ SCREENSHOT 3 ]  Excel Report — Summary Sheet</w:t>
            </w:r>
          </w:p>
          <w:p>
            <w:pPr>
              <w:spacing w:after="0" w:before="0"/>
              <w:jc w:val="center"/>
            </w:pPr>
            <w:r>
              <w:rPr>
                <w:rFonts w:ascii="Arial" w:cs="Arial" w:eastAsia="Arial" w:hAnsi="Arial"/>
                <w:i/>
                <w:iCs/>
                <w:color w:val="BBBBBB"/>
                <w:sz w:val="19"/>
                <w:szCs w:val="19"/>
              </w:rPr>
              <w:t xml:space="preserve">Show the Excel Summary sheet with all test IDs, names, categories, priorities and PASSED/FAILED status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BBBBB" w:sz="6"/>
              <w:left w:val="dashed" w:color="BBBBBB" w:sz="6"/>
              <w:bottom w:val="dashed" w:color="BBBBBB" w:sz="6"/>
              <w:right w:val="dashed" w:color="BBBBBB" w:sz="6"/>
            </w:tcBorders>
            <w:shd w:fill="F7F7F7" w:val="clear"/>
            <w:tcMar>
              <w:top w:type="dxa" w:w="220"/>
              <w:left w:type="dxa" w:w="280"/>
              <w:bottom w:type="dxa" w:w="220"/>
              <w:right w:type="dxa" w:w="280"/>
            </w:tcMar>
          </w:tcPr>
          <w:p>
            <w:pPr>
              <w:spacing w:after="80" w:before="0"/>
              <w:jc w:val="center"/>
            </w:pPr>
            <w:r>
              <w:rPr>
                <w:rFonts w:ascii="Arial" w:cs="Arial" w:eastAsia="Arial" w:hAnsi="Arial"/>
                <w:b/>
                <w:bCs/>
                <w:color w:val="999999"/>
                <w:sz w:val="21"/>
                <w:szCs w:val="21"/>
              </w:rPr>
              <w:t xml:space="preserve">[ SCREENSHOT 4 ]  Excel Report — Failed Records Sheet</w:t>
            </w:r>
          </w:p>
          <w:p>
            <w:pPr>
              <w:spacing w:after="0" w:before="0"/>
              <w:jc w:val="center"/>
            </w:pPr>
            <w:r>
              <w:rPr>
                <w:rFonts w:ascii="Arial" w:cs="Arial" w:eastAsia="Arial" w:hAnsi="Arial"/>
                <w:i/>
                <w:iCs/>
                <w:color w:val="BBBBBB"/>
                <w:sz w:val="19"/>
                <w:szCs w:val="19"/>
              </w:rPr>
              <w:t xml:space="preserve">Show the Failed Records sheet with sample rows — test ID, column names, actual values that caused the failure</w:t>
            </w:r>
          </w:p>
        </w:tc>
      </w:tr>
    </w:tbl>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6 — The Numbers — And What They Actually Mean</w:t>
      </w:r>
    </w:p>
    <w:p>
      <w:pPr>
        <w:spacing w:after="100" w:before="80"/>
      </w:pPr>
      <w:r>
        <w:rPr>
          <w:rFonts w:ascii="Arial" w:cs="Arial" w:eastAsia="Arial" w:hAnsi="Arial"/>
          <w:color w:val="333333"/>
          <w:sz w:val="21"/>
          <w:szCs w:val="21"/>
        </w:rPr>
        <w:t xml:space="preserve">The comparison below is not just about time saved. It is about what changed for the Business Analyst — what they could now bring into a sign-off meeting that they could not bring before.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DDDDD" w:sz="1"/>
              <w:left w:val="single" w:color="DDDDDD" w:sz="1"/>
              <w:bottom w:val="single" w:color="DDDDDD" w:sz="1"/>
              <w:right w:val="single" w:color="DDDDDD" w:sz="1"/>
            </w:tcBorders>
            <w:shd w:fill="1A1A1A"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Metric</w:t>
            </w:r>
          </w:p>
        </w:tc>
        <w:tc>
          <w:tcPr>
            <w:tcW w:type="dxa" w:w="278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Manual Approach</w:t>
            </w:r>
          </w:p>
        </w:tc>
        <w:tc>
          <w:tcPr>
            <w:tcW w:type="dxa" w:w="2780"/>
            <w:tcBorders>
              <w:top w:val="single" w:color="DDDDDD" w:sz="1"/>
              <w:left w:val="single" w:color="DDDDDD" w:sz="1"/>
              <w:bottom w:val="single" w:color="DDDDDD" w:sz="1"/>
              <w:right w:val="single" w:color="DDDDDD" w:sz="1"/>
            </w:tcBorders>
            <w:shd w:fill="C41230"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With Copilot Agent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Time to produce test cases</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Half to full day</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20–30 minutes</w:t>
            </w:r>
          </w:p>
        </w:tc>
      </w:tr>
      <w:tr>
        <w:tc>
          <w:tcPr>
            <w:tcW w:type="dxa" w:w="3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Test cases produced per table</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6–8</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50–60</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Transformation patterns covered</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3–4 out of 17+</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All 17+ pattern types</w:t>
            </w:r>
          </w:p>
        </w:tc>
      </w:tr>
      <w:tr>
        <w:tc>
          <w:tcPr>
            <w:tcW w:type="dxa" w:w="3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Failed record detail</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None</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Up to 10 sample rows per failure</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Business-readable report</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No</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Excel — 3 sheets, shareable</w:t>
            </w:r>
          </w:p>
        </w:tc>
      </w:tr>
      <w:tr>
        <w:tc>
          <w:tcPr>
            <w:tcW w:type="dxa" w:w="3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Reusable when script changes</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No</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Yes — regenerate from updated script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Who owns and runs the suite</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No consistent owner</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Business Analyst</w:t>
            </w:r>
          </w:p>
        </w:tc>
      </w:tr>
      <w:tr>
        <w:tc>
          <w:tcPr>
            <w:tcW w:type="dxa" w:w="3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pPr>
              <w:jc w:val="left"/>
            </w:pPr>
            <w:r>
              <w:rPr>
                <w:rFonts w:ascii="Arial" w:cs="Arial" w:eastAsia="Arial" w:hAnsi="Arial"/>
                <w:b w:val="false"/>
                <w:bCs w:val="false"/>
                <w:color w:val="1A1A1A"/>
                <w:sz w:val="21"/>
                <w:szCs w:val="21"/>
              </w:rPr>
              <w:t xml:space="preserve">Confidence at sign-off</w:t>
            </w:r>
          </w:p>
        </w:tc>
        <w:tc>
          <w:tcPr>
            <w:tcW w:type="dxa" w:w="2780"/>
            <w:tcBorders>
              <w:top w:val="single" w:color="DDDDDD" w:sz="1"/>
              <w:left w:val="single" w:color="DDDDDD" w:sz="1"/>
              <w:bottom w:val="single" w:color="DDDDDD" w:sz="1"/>
              <w:right w:val="single" w:color="DDDDDD" w:sz="1"/>
            </w:tcBorders>
            <w:shd w:fill="FFF5F5" w:val="clear"/>
            <w:tcMar>
              <w:top w:type="dxa" w:w="100"/>
              <w:left w:type="dxa" w:w="160"/>
              <w:bottom w:type="dxa" w:w="100"/>
              <w:right w:type="dxa" w:w="160"/>
            </w:tcMar>
          </w:tcPr>
          <w:p>
            <w:pPr>
              <w:jc w:val="center"/>
            </w:pPr>
            <w:r>
              <w:rPr>
                <w:rFonts w:ascii="Arial" w:cs="Arial" w:eastAsia="Arial" w:hAnsi="Arial"/>
                <w:b/>
                <w:bCs/>
                <w:color w:val="8B0000"/>
                <w:sz w:val="21"/>
                <w:szCs w:val="21"/>
              </w:rPr>
              <w:t xml:space="preserve">Gut feeling</w:t>
            </w:r>
          </w:p>
        </w:tc>
        <w:tc>
          <w:tcPr>
            <w:tcW w:type="dxa" w:w="2780"/>
            <w:tcBorders>
              <w:top w:val="single" w:color="DDDDDD" w:sz="1"/>
              <w:left w:val="single" w:color="DDDDDD" w:sz="1"/>
              <w:bottom w:val="single" w:color="DDDDDD" w:sz="1"/>
              <w:right w:val="single" w:color="DDDDDD" w:sz="1"/>
            </w:tcBorders>
            <w:shd w:fill="F0FBF5" w:val="clear"/>
            <w:tcMar>
              <w:top w:type="dxa" w:w="100"/>
              <w:left w:type="dxa" w:w="160"/>
              <w:bottom w:type="dxa" w:w="100"/>
              <w:right w:type="dxa" w:w="160"/>
            </w:tcMar>
          </w:tcPr>
          <w:p>
            <w:pPr>
              <w:jc w:val="center"/>
            </w:pPr>
            <w:r>
              <w:rPr>
                <w:rFonts w:ascii="Arial" w:cs="Arial" w:eastAsia="Arial" w:hAnsi="Arial"/>
                <w:b/>
                <w:bCs/>
                <w:color w:val="1A6B3A"/>
                <w:sz w:val="21"/>
                <w:szCs w:val="21"/>
              </w:rPr>
              <w:t xml:space="preserve">Evidence</w:t>
            </w:r>
          </w:p>
        </w:tc>
      </w:tr>
    </w:tbl>
    <w:p>
      <w:pPr>
        <w:spacing w:after="0" w:before="160"/>
      </w:pPr>
      <w:r>
        <w:t xml:space="preserve"/>
      </w:r>
    </w:p>
    <w:p>
      <w:pPr>
        <w:spacing w:after="100" w:before="80"/>
      </w:pPr>
      <w:r>
        <w:rPr>
          <w:rFonts w:ascii="Arial" w:cs="Arial" w:eastAsia="Arial" w:hAnsi="Arial"/>
          <w:color w:val="333333"/>
          <w:sz w:val="21"/>
          <w:szCs w:val="21"/>
        </w:rPr>
        <w:t xml:space="preserve">That last row is the one that matters most. The shift from gut feeling to evidence is not a productivity metric. It is a quality posture. The BA is no longer hoping the data is correct — they can show it is correct, column by column, test by test, with a report that anyone in the room can read.</w:t>
      </w:r>
    </w:p>
    <w:p>
      <w:pPr>
        <w:spacing w:after="0" w:before="220"/>
      </w:pPr>
      <w:r>
        <w:t xml:space="preserve"/>
      </w:r>
    </w:p>
    <w:p>
      <w:pPr>
        <w:pBdr>
          <w:bottom w:val="single" w:color="C41230" w:sz="8" w:space="1"/>
        </w:pBdr>
        <w:spacing w:after="260" w:before="260"/>
      </w:pPr>
      <w:r>
        <w:t xml:space="preserve"/>
      </w:r>
    </w:p>
    <w:p>
      <w:pPr>
        <w:pBdr>
          <w:bottom w:val="single" w:color="C41230" w:sz="6" w:space="4"/>
        </w:pBdr>
        <w:spacing w:after="120" w:before="380"/>
      </w:pPr>
      <w:r>
        <w:rPr>
          <w:rFonts w:ascii="Arial" w:cs="Arial" w:eastAsia="Arial" w:hAnsi="Arial"/>
          <w:b/>
          <w:bCs/>
          <w:color w:val="C41230"/>
          <w:sz w:val="34"/>
          <w:szCs w:val="34"/>
        </w:rPr>
        <w:t xml:space="preserve">Act 7 — One Agent, Three Tables, One Standard</w:t>
      </w:r>
    </w:p>
    <w:p>
      <w:pPr>
        <w:spacing w:after="100" w:before="80"/>
      </w:pPr>
      <w:r>
        <w:rPr>
          <w:rFonts w:ascii="Arial" w:cs="Arial" w:eastAsia="Arial" w:hAnsi="Arial"/>
          <w:color w:val="333333"/>
          <w:sz w:val="21"/>
          <w:szCs w:val="21"/>
        </w:rPr>
        <w:t xml:space="preserve">The same agent was used for all three tables. The same notebook structure. The same Excel report format. The same five-cell pattern. Each table produced a different set of tests — because each script had different transformation logic — but the process was identical every time.</w:t>
      </w:r>
    </w:p>
    <w:p>
      <w:pPr>
        <w:spacing w:after="0" w:before="60"/>
      </w:pPr>
      <w:r>
        <w:t xml:space="preserve"/>
      </w:r>
    </w:p>
    <w:p>
      <w:pPr>
        <w:spacing w:after="100" w:before="80"/>
      </w:pPr>
      <w:r>
        <w:rPr>
          <w:rFonts w:ascii="Arial" w:cs="Arial" w:eastAsia="Arial" w:hAnsi="Arial"/>
          <w:color w:val="333333"/>
          <w:sz w:val="21"/>
          <w:szCs w:val="21"/>
        </w:rPr>
        <w:t xml:space="preserve">Feed the script. Feed the mapping sheet. Review the test plan. Approve. Import the notebook. Run all. Read the report.</w:t>
      </w:r>
    </w:p>
    <w:p>
      <w:pPr>
        <w:spacing w:after="0" w:before="80"/>
      </w:pPr>
      <w:r>
        <w:t xml:space="preserve"/>
      </w:r>
    </w:p>
    <w:p>
      <w:pPr>
        <w:spacing w:after="100" w:before="80"/>
      </w:pPr>
      <w:r>
        <w:rPr>
          <w:rFonts w:ascii="Arial" w:cs="Arial" w:eastAsia="Arial" w:hAnsi="Arial"/>
          <w:color w:val="333333"/>
          <w:sz w:val="21"/>
          <w:szCs w:val="21"/>
        </w:rPr>
        <w:t xml:space="preserve">That repeatability is not a small thing. It means the next table that gets built — and the one after that — already has a validation standard waiting for it. The BA does not start from scratch. The agent does not need to be rebuilt. The process is already defined.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230" w:sz="2"/>
              <w:left w:val="single" w:color="C41230" w:sz="24"/>
              <w:bottom w:val="single" w:color="C41230" w:sz="2"/>
              <w:right w:val="single" w:color="C41230" w:sz="2"/>
            </w:tcBorders>
            <w:shd w:fill="FBF0F2" w:val="clear"/>
            <w:tcMar>
              <w:top w:type="dxa" w:w="180"/>
              <w:left w:type="dxa" w:w="280"/>
              <w:bottom w:type="dxa" w:w="180"/>
              <w:right w:type="dxa" w:w="240"/>
            </w:tcMar>
          </w:tcPr>
          <w:p>
            <w:pPr>
              <w:spacing w:after="100" w:before="0"/>
            </w:pPr>
            <w:r>
              <w:rPr>
                <w:rFonts w:ascii="Arial" w:cs="Arial" w:eastAsia="Arial" w:hAnsi="Arial"/>
                <w:b/>
                <w:bCs/>
                <w:color w:val="C41230"/>
                <w:sz w:val="22"/>
                <w:szCs w:val="22"/>
              </w:rPr>
              <w:t xml:space="preserve">🚀  The Broader Signal</w:t>
            </w:r>
          </w:p>
          <w:p>
            <w:pPr>
              <w:spacing w:after="40" w:before="40"/>
            </w:pPr>
            <w:r>
              <w:rPr>
                <w:rFonts w:ascii="Arial" w:cs="Arial" w:eastAsia="Arial" w:hAnsi="Arial"/>
                <w:color w:val="1A1A1A"/>
                <w:sz w:val="20"/>
                <w:szCs w:val="20"/>
              </w:rPr>
              <w:t xml:space="preserve">This project is not really about unit tests. It is about what happens when the business team</w:t>
            </w:r>
          </w:p>
          <w:p>
            <w:pPr>
              <w:spacing w:after="40" w:before="40"/>
            </w:pPr>
            <w:r>
              <w:rPr>
                <w:rFonts w:ascii="Arial" w:cs="Arial" w:eastAsia="Arial" w:hAnsi="Arial"/>
                <w:color w:val="1A1A1A"/>
                <w:sz w:val="20"/>
                <w:szCs w:val="20"/>
              </w:rPr>
              <w:t xml:space="preserve">has a systematic way to verify that the data model matches the business intent.</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The mapping sheet says what should happen.</w:t>
            </w:r>
          </w:p>
          <w:p>
            <w:pPr>
              <w:spacing w:after="40" w:before="40"/>
            </w:pPr>
            <w:r>
              <w:rPr>
                <w:rFonts w:ascii="Arial" w:cs="Arial" w:eastAsia="Arial" w:hAnsi="Arial"/>
                <w:color w:val="1A1A1A"/>
                <w:sz w:val="20"/>
                <w:szCs w:val="20"/>
              </w:rPr>
              <w:t xml:space="preserve">The test suite proves whether it does.</w:t>
            </w:r>
          </w:p>
          <w:p>
            <w:pPr>
              <w:spacing w:after="40" w:before="40"/>
            </w:pPr>
            <w:r>
              <w:rPr>
                <w:rFonts w:ascii="Arial" w:cs="Arial" w:eastAsia="Arial" w:hAnsi="Arial"/>
                <w:color w:val="1A1A1A"/>
                <w:sz w:val="20"/>
                <w:szCs w:val="20"/>
              </w:rPr>
              <w:t xml:space="preserve">Copilot built the bridge between those two things — and the BA owns it.</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The same pattern applies to any ETL table being built or migrated.</w:t>
            </w:r>
          </w:p>
          <w:p>
            <w:pPr>
              <w:spacing w:after="40" w:before="40"/>
            </w:pPr>
            <w:r>
              <w:rPr>
                <w:rFonts w:ascii="Arial" w:cs="Arial" w:eastAsia="Arial" w:hAnsi="Arial"/>
                <w:color w:val="1A1A1A"/>
                <w:sz w:val="20"/>
                <w:szCs w:val="20"/>
              </w:rPr>
              <w:t xml:space="preserve">Feed the agent a script and a mapping sheet. Get a test suite back.</w:t>
            </w:r>
          </w:p>
          <w:p>
            <w:pPr>
              <w:spacing w:after="40" w:before="40"/>
            </w:pPr>
            <w:r>
              <w:rPr>
                <w:rFonts w:ascii="Arial" w:cs="Arial" w:eastAsia="Arial" w:hAnsi="Arial"/>
                <w:color w:val="1A1A1A"/>
                <w:sz w:val="20"/>
                <w:szCs w:val="20"/>
              </w:rPr>
              <w:t xml:space="preserve">The investment is measured in minutes. The confidence it produces is permanent.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14"/>
              <w:bottom w:val="single" w:color="DDDDDD" w:sz="2"/>
              <w:right w:val="single" w:color="DDDDDD" w:sz="2"/>
            </w:tcBorders>
            <w:shd w:fill="F4F4F4" w:val="clear"/>
            <w:tcMar>
              <w:top w:type="dxa" w:w="160"/>
              <w:left w:type="dxa" w:w="280"/>
              <w:bottom w:type="dxa" w:w="160"/>
              <w:right w:type="dxa" w:w="240"/>
            </w:tcMar>
          </w:tcPr>
          <w:p>
            <w:pPr>
              <w:spacing w:after="80" w:before="0"/>
            </w:pPr>
            <w:r>
              <w:rPr>
                <w:rFonts w:ascii="Arial" w:cs="Arial" w:eastAsia="Arial" w:hAnsi="Arial"/>
                <w:b/>
                <w:bCs/>
                <w:color w:val="1A1A1A"/>
                <w:sz w:val="22"/>
                <w:szCs w:val="22"/>
              </w:rPr>
              <w:t xml:space="preserve">What the Agent Can Do for Any New Table</w:t>
            </w:r>
          </w:p>
          <w:p>
            <w:pPr>
              <w:spacing w:after="40" w:before="40"/>
            </w:pPr>
            <w:r>
              <w:rPr>
                <w:rFonts w:ascii="Arial" w:cs="Arial" w:eastAsia="Arial" w:hAnsi="Arial"/>
                <w:color w:val="1A1A1A"/>
                <w:sz w:val="20"/>
                <w:szCs w:val="20"/>
              </w:rPr>
              <w:t xml:space="preserve">1.  Receive the ETL script (SQL, PySpark, or mixed Databricks notebook format)</w:t>
            </w:r>
          </w:p>
          <w:p>
            <w:pPr>
              <w:spacing w:after="40" w:before="40"/>
            </w:pPr>
            <w:r>
              <w:rPr>
                <w:rFonts w:ascii="Arial" w:cs="Arial" w:eastAsia="Arial" w:hAnsi="Arial"/>
                <w:color w:val="1A1A1A"/>
                <w:sz w:val="20"/>
                <w:szCs w:val="20"/>
              </w:rPr>
              <w:t xml:space="preserve">2.  Receive the mapping sheet (Excel, CSV, or plain text)</w:t>
            </w:r>
          </w:p>
          <w:p>
            <w:pPr>
              <w:spacing w:after="40" w:before="40"/>
            </w:pPr>
            <w:r>
              <w:rPr>
                <w:rFonts w:ascii="Arial" w:cs="Arial" w:eastAsia="Arial" w:hAnsi="Arial"/>
                <w:color w:val="1A1A1A"/>
                <w:sz w:val="20"/>
                <w:szCs w:val="20"/>
              </w:rPr>
              <w:t xml:space="preserve">3.  Detect all transformation patterns automatically — no manual configuration</w:t>
            </w:r>
          </w:p>
          <w:p>
            <w:pPr>
              <w:spacing w:after="40" w:before="40"/>
            </w:pPr>
            <w:r>
              <w:rPr>
                <w:rFonts w:ascii="Arial" w:cs="Arial" w:eastAsia="Arial" w:hAnsi="Arial"/>
                <w:color w:val="1A1A1A"/>
                <w:sz w:val="20"/>
                <w:szCs w:val="20"/>
              </w:rPr>
              <w:t xml:space="preserve">4.  Produce a structured test plan with categories, priorities, and counts</w:t>
            </w:r>
          </w:p>
          <w:p>
            <w:pPr>
              <w:spacing w:after="40" w:before="40"/>
            </w:pPr>
            <w:r>
              <w:rPr>
                <w:rFonts w:ascii="Arial" w:cs="Arial" w:eastAsia="Arial" w:hAnsi="Arial"/>
                <w:color w:val="1A1A1A"/>
                <w:sz w:val="20"/>
                <w:szCs w:val="20"/>
              </w:rPr>
              <w:t xml:space="preserve">5.  Wait for BA approval before generating any code</w:t>
            </w:r>
          </w:p>
          <w:p>
            <w:pPr>
              <w:spacing w:after="40" w:before="40"/>
            </w:pPr>
            <w:r>
              <w:rPr>
                <w:rFonts w:ascii="Arial" w:cs="Arial" w:eastAsia="Arial" w:hAnsi="Arial"/>
                <w:color w:val="1A1A1A"/>
                <w:sz w:val="20"/>
                <w:szCs w:val="20"/>
              </w:rPr>
              <w:t xml:space="preserve">6.  Generate a complete, import-ready Databricks notebook</w:t>
            </w:r>
          </w:p>
          <w:p>
            <w:pPr>
              <w:spacing w:after="40" w:before="40"/>
            </w:pPr>
            <w:r>
              <w:rPr>
                <w:rFonts w:ascii="Arial" w:cs="Arial" w:eastAsia="Arial" w:hAnsi="Arial"/>
                <w:color w:val="1A1A1A"/>
                <w:sz w:val="20"/>
                <w:szCs w:val="20"/>
              </w:rPr>
              <w:t xml:space="preserve">7.  Produce an Excel validation report the business can read and act on</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Repeatable. Consistent. Owned by the business team.</w:t>
            </w:r>
          </w:p>
        </w:tc>
      </w:tr>
    </w:tbl>
    <w:p>
      <w:pPr>
        <w:spacing w:after="0" w:before="2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41230" w:sz="6"/>
              <w:left w:val="none" w:color="FFFFFF" w:sz="0"/>
              <w:bottom w:val="none" w:color="FFFFFF" w:sz="0"/>
              <w:right w:val="none" w:color="FFFFFF" w:sz="0"/>
            </w:tcBorders>
            <w:shd w:fill="FFFFFF" w:val="clear"/>
            <w:tcMar>
              <w:top w:type="dxa" w:w="160"/>
              <w:left w:type="dxa" w:w="0"/>
              <w:bottom w:type="dxa" w:w="80"/>
              <w:right w:type="dxa" w:w="0"/>
            </w:tcMar>
          </w:tcPr>
          <w:p>
            <w:pPr>
              <w:spacing w:after="40" w:before="0"/>
              <w:jc w:val="center"/>
            </w:pPr>
            <w:r>
              <w:rPr>
                <w:rFonts w:ascii="Arial" w:cs="Arial" w:eastAsia="Arial" w:hAnsi="Arial"/>
                <w:color w:val="666666"/>
                <w:sz w:val="18"/>
                <w:szCs w:val="18"/>
              </w:rPr>
              <w:t xml:space="preserve">AN Analytics  ·  Data &amp; IT Analytics Team  ·  Canada Life</w:t>
            </w:r>
          </w:p>
          <w:p>
            <w:pPr>
              <w:spacing w:after="0" w:before="0"/>
              <w:jc w:val="center"/>
            </w:pPr>
            <w:r>
              <w:rPr>
                <w:rFonts w:ascii="Arial" w:cs="Arial" w:eastAsia="Arial" w:hAnsi="Arial"/>
                <w:color w:val="666666"/>
                <w:sz w:val="18"/>
                <w:szCs w:val="18"/>
              </w:rPr>
              <w:t xml:space="preserve">Published on the AI Adoption SharePoint Page  ·  Internal Use Only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2026-04-16T08:19:13.307Z</dcterms:created>
  <dcterms:modified xsi:type="dcterms:W3CDTF">2026-04-16T08:19:13.308Z</dcterms:modified>
</cp:coreProperties>
</file>

<file path=docProps/custom.xml><?xml version="1.0" encoding="utf-8"?>
<Properties xmlns="http://schemas.openxmlformats.org/officeDocument/2006/custom-properties" xmlns:vt="http://schemas.openxmlformats.org/officeDocument/2006/docPropsVTypes"/>
</file>