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6D5EA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6D5EAD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19BB43F3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The American Naturalist</w:t>
            </w:r>
            <w:r w:rsidR="006F2BA9">
              <w:rPr>
                <w:rFonts w:ascii="Lato Light" w:hAnsi="Lato Light"/>
                <w:i/>
              </w:rPr>
              <w:t xml:space="preserve">, </w:t>
            </w:r>
            <w:r w:rsidR="006F2BA9">
              <w:rPr>
                <w:rFonts w:ascii="Lato Light" w:hAnsi="Lato Light"/>
              </w:rPr>
              <w:t>In Press</w:t>
            </w:r>
            <w:r w:rsidR="00C405C1">
              <w:rPr>
                <w:rFonts w:ascii="Lato Light" w:hAnsi="Lato Light"/>
                <w:i/>
              </w:rPr>
              <w:t>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52C24616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623667">
              <w:rPr>
                <w:rFonts w:ascii="Lato Light" w:hAnsi="Lato Light"/>
                <w:color w:val="000000" w:themeColor="text1"/>
              </w:rPr>
              <w:t>New Jersey Institute of Technology • Mar 2017</w:t>
            </w:r>
            <w:r w:rsidR="00623667">
              <w:rPr>
                <w:rFonts w:ascii="Lato Light" w:hAnsi="Lato Light"/>
                <w:color w:val="000000" w:themeColor="text1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68B6BE23" w:rsidR="00C6597A" w:rsidRPr="00EE5A39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3437E3F3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</w:t>
            </w:r>
            <w:r w:rsidR="00C02026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1D47E2">
              <w:rPr>
                <w:rFonts w:ascii="Lato Light" w:hAnsi="Lato Light"/>
              </w:rPr>
              <w:t>5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="00C02026">
              <w:rPr>
                <w:rFonts w:ascii="Lato Light" w:hAnsi="Lato Light"/>
              </w:rPr>
              <w:t xml:space="preserve"> Journal of Evolutionary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 xml:space="preserve">s in Ecology and Evolution (2), </w:t>
            </w:r>
            <w:r w:rsidR="006539EA">
              <w:rPr>
                <w:rFonts w:ascii="Lato Light" w:hAnsi="Lato Light"/>
              </w:rPr>
              <w:t xml:space="preserve">Nature Communications, </w:t>
            </w:r>
            <w:bookmarkStart w:id="0" w:name="_GoBack"/>
            <w:bookmarkEnd w:id="0"/>
            <w:r>
              <w:rPr>
                <w:rFonts w:ascii="Lato Light" w:hAnsi="Lato Light"/>
              </w:rPr>
              <w:t>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323DB14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  <w:r w:rsidR="00C02026">
              <w:rPr>
                <w:rFonts w:ascii="Lato Light" w:hAnsi="Lato Light"/>
                <w:color w:val="000000" w:themeColor="text1"/>
              </w:rPr>
              <w:br/>
              <w:t>ad hoc reviewer for the 2017 fiscal year.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E4F2FB5" w14:textId="77777777" w:rsidR="00C02026" w:rsidRDefault="004B7C7E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5E8160E5" w14:textId="1EE60B3F" w:rsidR="00C85562" w:rsidRDefault="00C85562" w:rsidP="00C02026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C85562">
              <w:rPr>
                <w:rFonts w:ascii="Lato Light" w:hAnsi="Lato Light"/>
                <w:color w:val="FFFFFF" w:themeColor="background1"/>
              </w:rPr>
              <w:t>_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7CA4A2E2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5309C591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  <w:r w:rsidR="00623667">
              <w:rPr>
                <w:rFonts w:ascii="Lato Light" w:hAnsi="Lato Light"/>
              </w:rPr>
              <w:t>.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25BE6" w14:textId="77777777" w:rsidR="006D5EAD" w:rsidRDefault="006D5EAD" w:rsidP="00CC1B6C">
      <w:r>
        <w:separator/>
      </w:r>
    </w:p>
  </w:endnote>
  <w:endnote w:type="continuationSeparator" w:id="0">
    <w:p w14:paraId="79AD0E3E" w14:textId="77777777" w:rsidR="006D5EAD" w:rsidRDefault="006D5EAD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6539EA">
      <w:rPr>
        <w:rStyle w:val="PageNumber"/>
        <w:rFonts w:ascii="Roboto Light" w:hAnsi="Roboto Light"/>
        <w:noProof/>
        <w:color w:val="236468"/>
        <w:sz w:val="20"/>
        <w:szCs w:val="20"/>
      </w:rPr>
      <w:t>5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45BE3" w14:textId="77777777" w:rsidR="006D5EAD" w:rsidRDefault="006D5EAD" w:rsidP="00CC1B6C">
      <w:r>
        <w:separator/>
      </w:r>
    </w:p>
  </w:footnote>
  <w:footnote w:type="continuationSeparator" w:id="0">
    <w:p w14:paraId="2B3DFC6F" w14:textId="77777777" w:rsidR="006D5EAD" w:rsidRDefault="006D5EAD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09575A"/>
    <w:rsid w:val="00175C47"/>
    <w:rsid w:val="001A606A"/>
    <w:rsid w:val="001B5420"/>
    <w:rsid w:val="001D47E2"/>
    <w:rsid w:val="001E06D9"/>
    <w:rsid w:val="001E4BDD"/>
    <w:rsid w:val="001F1018"/>
    <w:rsid w:val="001F1324"/>
    <w:rsid w:val="00241EBD"/>
    <w:rsid w:val="002C0707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23667"/>
    <w:rsid w:val="0063338A"/>
    <w:rsid w:val="006419E3"/>
    <w:rsid w:val="006539EA"/>
    <w:rsid w:val="00654E15"/>
    <w:rsid w:val="00656566"/>
    <w:rsid w:val="006567F3"/>
    <w:rsid w:val="00664B4C"/>
    <w:rsid w:val="0067483A"/>
    <w:rsid w:val="006C3378"/>
    <w:rsid w:val="006D5EAD"/>
    <w:rsid w:val="006F2BA9"/>
    <w:rsid w:val="007058BF"/>
    <w:rsid w:val="00707F12"/>
    <w:rsid w:val="00717A25"/>
    <w:rsid w:val="00743940"/>
    <w:rsid w:val="00747FAE"/>
    <w:rsid w:val="00750368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02026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928"/>
    <w:rsid w:val="00E1335C"/>
    <w:rsid w:val="00E37FB9"/>
    <w:rsid w:val="00E57FF6"/>
    <w:rsid w:val="00E65D60"/>
    <w:rsid w:val="00EA2443"/>
    <w:rsid w:val="00EB7A19"/>
    <w:rsid w:val="00EC3EDB"/>
    <w:rsid w:val="00EE5A39"/>
    <w:rsid w:val="00EF059A"/>
    <w:rsid w:val="00F1714D"/>
    <w:rsid w:val="00F8519A"/>
    <w:rsid w:val="00F97E87"/>
    <w:rsid w:val="00FA215A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2115</Words>
  <Characters>12056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6</cp:revision>
  <cp:lastPrinted>2017-03-16T13:50:00Z</cp:lastPrinted>
  <dcterms:created xsi:type="dcterms:W3CDTF">2017-03-16T13:50:00Z</dcterms:created>
  <dcterms:modified xsi:type="dcterms:W3CDTF">2017-06-07T16:59:00Z</dcterms:modified>
</cp:coreProperties>
</file>