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3BE80" w14:textId="620B882F" w:rsidR="00DD5716" w:rsidRDefault="009B7C7C" w:rsidP="48183505">
      <w:pPr>
        <w:spacing w:after="120" w:line="259" w:lineRule="auto"/>
        <w:rPr>
          <w:rFonts w:ascii="Arial" w:eastAsia="Arial" w:hAnsi="Arial" w:cs="Arial"/>
        </w:rPr>
      </w:pPr>
      <w:proofErr w:type="gramStart"/>
      <w:r w:rsidRPr="48183505">
        <w:rPr>
          <w:rFonts w:ascii="Arial" w:eastAsia="Arial" w:hAnsi="Arial" w:cs="Arial"/>
          <w:b/>
          <w:bCs/>
        </w:rPr>
        <w:t xml:space="preserve">ERAS Gynecology – </w:t>
      </w:r>
      <w:r w:rsidR="00917F59" w:rsidRPr="48183505">
        <w:rPr>
          <w:rFonts w:ascii="Arial" w:eastAsia="Arial" w:hAnsi="Arial" w:cs="Arial"/>
        </w:rPr>
        <w:t>Minimally Invasive Gynecology Service</w:t>
      </w:r>
      <w:r w:rsidRPr="48183505">
        <w:rPr>
          <w:rFonts w:ascii="Arial" w:eastAsia="Arial" w:hAnsi="Arial" w:cs="Arial"/>
          <w:b/>
          <w:bCs/>
        </w:rPr>
        <w:t>.</w:t>
      </w:r>
      <w:proofErr w:type="gramEnd"/>
      <w:r w:rsidRPr="48183505">
        <w:rPr>
          <w:rFonts w:ascii="Arial" w:eastAsia="Arial" w:hAnsi="Arial" w:cs="Arial"/>
        </w:rPr>
        <w:t xml:space="preserve"> </w:t>
      </w:r>
    </w:p>
    <w:p w14:paraId="5839DD76" w14:textId="77777777" w:rsidR="00DD5716" w:rsidRDefault="00DD5716">
      <w:pPr>
        <w:spacing w:after="120" w:line="259" w:lineRule="auto"/>
        <w:rPr>
          <w:rFonts w:ascii="Arial" w:eastAsia="Arial" w:hAnsi="Arial" w:cs="Arial"/>
          <w:b/>
        </w:rPr>
      </w:pPr>
    </w:p>
    <w:p w14:paraId="1364BDA2" w14:textId="77777777" w:rsidR="00DD5716" w:rsidRDefault="009B7C7C" w:rsidP="48183505">
      <w:pPr>
        <w:spacing w:after="120" w:line="259" w:lineRule="auto"/>
        <w:rPr>
          <w:rFonts w:ascii="Arial" w:eastAsia="Arial" w:hAnsi="Arial" w:cs="Arial"/>
          <w:b/>
          <w:bCs/>
        </w:rPr>
      </w:pPr>
      <w:r w:rsidRPr="48183505">
        <w:rPr>
          <w:rFonts w:ascii="Arial" w:eastAsia="Arial" w:hAnsi="Arial" w:cs="Arial"/>
          <w:b/>
          <w:bCs/>
        </w:rPr>
        <w:t xml:space="preserve"> Anesthesiology Components (ERAS Gynecology)</w:t>
      </w:r>
    </w:p>
    <w:p w14:paraId="60A060F2" w14:textId="77777777" w:rsidR="00DD5716" w:rsidRPr="009B7C7C" w:rsidRDefault="009B7C7C" w:rsidP="009B7C7C">
      <w:pPr>
        <w:numPr>
          <w:ilvl w:val="0"/>
          <w:numId w:val="5"/>
        </w:numPr>
        <w:spacing w:after="120" w:line="259" w:lineRule="auto"/>
        <w:rPr>
          <w:rFonts w:ascii="Arial" w:eastAsia="Arial" w:hAnsi="Arial" w:cs="Arial"/>
        </w:rPr>
      </w:pPr>
      <w:r w:rsidRPr="009B7C7C">
        <w:rPr>
          <w:rFonts w:ascii="Arial" w:eastAsia="Arial" w:hAnsi="Arial" w:cs="Arial"/>
        </w:rPr>
        <w:t>PONV Patients: Emend 40 mg PO prior to OR</w:t>
      </w:r>
    </w:p>
    <w:p w14:paraId="5C9C6DAC" w14:textId="77777777" w:rsidR="00DD5716" w:rsidRPr="009B7C7C" w:rsidRDefault="009B7C7C" w:rsidP="009B7C7C">
      <w:pPr>
        <w:numPr>
          <w:ilvl w:val="0"/>
          <w:numId w:val="5"/>
        </w:numPr>
        <w:spacing w:after="120" w:line="259" w:lineRule="auto"/>
        <w:rPr>
          <w:rFonts w:ascii="Arial" w:eastAsia="Arial" w:hAnsi="Arial" w:cs="Arial"/>
        </w:rPr>
      </w:pPr>
      <w:r w:rsidRPr="009B7C7C">
        <w:rPr>
          <w:rFonts w:ascii="Arial" w:eastAsia="Arial" w:hAnsi="Arial" w:cs="Arial"/>
        </w:rPr>
        <w:t>Induction and maintenance of anesthesia as per anesthesia team</w:t>
      </w:r>
    </w:p>
    <w:p w14:paraId="3FC7E56F" w14:textId="5FA5916A" w:rsidR="009B7C7C" w:rsidRDefault="009B7C7C" w:rsidP="009B7C7C">
      <w:pPr>
        <w:numPr>
          <w:ilvl w:val="0"/>
          <w:numId w:val="5"/>
        </w:numPr>
        <w:spacing w:after="120" w:line="259" w:lineRule="auto"/>
        <w:rPr>
          <w:rFonts w:ascii="Arial" w:eastAsia="Arial" w:hAnsi="Arial" w:cs="Arial"/>
        </w:rPr>
      </w:pPr>
      <w:r w:rsidRPr="009B7C7C">
        <w:rPr>
          <w:rFonts w:ascii="Arial" w:eastAsia="Arial" w:hAnsi="Arial" w:cs="Arial"/>
        </w:rPr>
        <w:t xml:space="preserve"> </w:t>
      </w:r>
      <w:proofErr w:type="spellStart"/>
      <w:r w:rsidRPr="009B7C7C">
        <w:rPr>
          <w:rFonts w:ascii="Arial" w:eastAsia="Arial" w:hAnsi="Arial" w:cs="Arial"/>
        </w:rPr>
        <w:t>Lidoc</w:t>
      </w:r>
      <w:bookmarkStart w:id="0" w:name="_GoBack"/>
      <w:bookmarkEnd w:id="0"/>
      <w:r w:rsidRPr="009B7C7C">
        <w:rPr>
          <w:rFonts w:ascii="Arial" w:eastAsia="Arial" w:hAnsi="Arial" w:cs="Arial"/>
        </w:rPr>
        <w:t>aine</w:t>
      </w:r>
      <w:proofErr w:type="spellEnd"/>
      <w:r w:rsidRPr="009B7C7C">
        <w:rPr>
          <w:rFonts w:ascii="Arial" w:eastAsia="Arial" w:hAnsi="Arial" w:cs="Arial"/>
        </w:rPr>
        <w:t xml:space="preserve"> infusion: 100 mg IV bolus. Start </w:t>
      </w:r>
      <w:r w:rsidR="00917F59">
        <w:rPr>
          <w:rFonts w:ascii="Arial" w:eastAsia="Arial" w:hAnsi="Arial" w:cs="Arial"/>
        </w:rPr>
        <w:t>maintenance</w:t>
      </w:r>
      <w:r w:rsidRPr="009B7C7C">
        <w:rPr>
          <w:rFonts w:ascii="Arial" w:eastAsia="Arial" w:hAnsi="Arial" w:cs="Arial"/>
        </w:rPr>
        <w:t xml:space="preserve"> infusion during induction at </w:t>
      </w:r>
      <w:r w:rsidRPr="009B7C7C">
        <w:rPr>
          <w:rFonts w:ascii="Arial" w:eastAsia="Arial" w:hAnsi="Arial" w:cs="Arial"/>
          <w:bCs/>
        </w:rPr>
        <w:t>2 mg/kg/hr. D</w:t>
      </w:r>
      <w:r w:rsidRPr="009B7C7C">
        <w:rPr>
          <w:rFonts w:ascii="Arial" w:eastAsia="Arial" w:hAnsi="Arial" w:cs="Arial"/>
        </w:rPr>
        <w:t xml:space="preserve">iscontinue infusion at the end of surgery.  </w:t>
      </w:r>
    </w:p>
    <w:p w14:paraId="5FD8E935" w14:textId="42AA32AD" w:rsidR="00DD5716" w:rsidRPr="009B7C7C" w:rsidRDefault="009B7C7C" w:rsidP="009B7C7C">
      <w:pPr>
        <w:numPr>
          <w:ilvl w:val="1"/>
          <w:numId w:val="5"/>
        </w:numPr>
        <w:spacing w:after="120" w:line="259" w:lineRule="auto"/>
        <w:rPr>
          <w:rFonts w:ascii="Arial" w:eastAsia="Arial" w:hAnsi="Arial" w:cs="Arial"/>
        </w:rPr>
      </w:pPr>
      <w:r>
        <w:rPr>
          <w:rFonts w:ascii="Arial" w:eastAsia="Arial" w:hAnsi="Arial" w:cs="Arial"/>
        </w:rPr>
        <w:t xml:space="preserve">If </w:t>
      </w:r>
      <w:r w:rsidRPr="009B7C7C">
        <w:rPr>
          <w:rFonts w:ascii="Arial" w:eastAsia="Arial" w:hAnsi="Arial" w:cs="Arial"/>
        </w:rPr>
        <w:t>contraindications to lidocaine (seizures)</w:t>
      </w:r>
      <w:r>
        <w:rPr>
          <w:rFonts w:ascii="Arial" w:eastAsia="Arial" w:hAnsi="Arial" w:cs="Arial"/>
        </w:rPr>
        <w:t>:</w:t>
      </w:r>
      <w:r w:rsidRPr="009B7C7C">
        <w:rPr>
          <w:rFonts w:ascii="Arial" w:eastAsia="Arial" w:hAnsi="Arial" w:cs="Arial"/>
        </w:rPr>
        <w:t xml:space="preserve"> use ketamine 30 mg/</w:t>
      </w:r>
      <w:proofErr w:type="spellStart"/>
      <w:r w:rsidRPr="009B7C7C">
        <w:rPr>
          <w:rFonts w:ascii="Arial" w:eastAsia="Arial" w:hAnsi="Arial" w:cs="Arial"/>
        </w:rPr>
        <w:t>hr</w:t>
      </w:r>
      <w:proofErr w:type="spellEnd"/>
    </w:p>
    <w:p w14:paraId="3CF2C6A4" w14:textId="77777777" w:rsidR="00DD5716" w:rsidRPr="009B7C7C" w:rsidRDefault="009B7C7C" w:rsidP="009B7C7C">
      <w:pPr>
        <w:numPr>
          <w:ilvl w:val="0"/>
          <w:numId w:val="5"/>
        </w:numPr>
        <w:spacing w:after="120" w:line="259" w:lineRule="auto"/>
        <w:rPr>
          <w:rFonts w:ascii="Arial" w:eastAsia="Arial" w:hAnsi="Arial" w:cs="Arial"/>
        </w:rPr>
      </w:pPr>
      <w:r w:rsidRPr="009B7C7C">
        <w:rPr>
          <w:rFonts w:ascii="Arial" w:eastAsia="Arial" w:hAnsi="Arial" w:cs="Arial"/>
        </w:rPr>
        <w:t xml:space="preserve">Prior to incision: </w:t>
      </w:r>
    </w:p>
    <w:p w14:paraId="2E83A4A2" w14:textId="77777777" w:rsidR="00DD5716" w:rsidRPr="009B7C7C" w:rsidRDefault="009B7C7C" w:rsidP="009B7C7C">
      <w:pPr>
        <w:numPr>
          <w:ilvl w:val="1"/>
          <w:numId w:val="5"/>
        </w:numPr>
        <w:spacing w:after="120" w:line="259" w:lineRule="auto"/>
        <w:rPr>
          <w:rFonts w:ascii="Arial" w:eastAsia="Arial" w:hAnsi="Arial" w:cs="Arial"/>
        </w:rPr>
      </w:pPr>
      <w:r w:rsidRPr="009B7C7C">
        <w:rPr>
          <w:rFonts w:ascii="Arial" w:eastAsia="Arial" w:hAnsi="Arial" w:cs="Arial"/>
        </w:rPr>
        <w:t xml:space="preserve">Dexamethasone 8 mg IV (4 mg in patient with IDDM).  </w:t>
      </w:r>
    </w:p>
    <w:p w14:paraId="0FDBE0CB" w14:textId="77777777" w:rsidR="00DD5716" w:rsidRPr="009B7C7C" w:rsidRDefault="009B7C7C" w:rsidP="009B7C7C">
      <w:pPr>
        <w:numPr>
          <w:ilvl w:val="1"/>
          <w:numId w:val="5"/>
        </w:numPr>
        <w:spacing w:after="120" w:line="259" w:lineRule="auto"/>
        <w:rPr>
          <w:rFonts w:ascii="Arial" w:eastAsia="Arial" w:hAnsi="Arial" w:cs="Arial"/>
        </w:rPr>
      </w:pPr>
      <w:proofErr w:type="spellStart"/>
      <w:r w:rsidRPr="009B7C7C">
        <w:rPr>
          <w:rFonts w:ascii="Arial" w:eastAsia="Arial" w:hAnsi="Arial" w:cs="Arial"/>
        </w:rPr>
        <w:t>Ibuprophen</w:t>
      </w:r>
      <w:proofErr w:type="spellEnd"/>
      <w:r w:rsidRPr="009B7C7C">
        <w:rPr>
          <w:rFonts w:ascii="Arial" w:eastAsia="Arial" w:hAnsi="Arial" w:cs="Arial"/>
        </w:rPr>
        <w:t xml:space="preserve"> (</w:t>
      </w:r>
      <w:proofErr w:type="spellStart"/>
      <w:r w:rsidRPr="009B7C7C">
        <w:rPr>
          <w:rFonts w:ascii="Arial" w:eastAsia="Arial" w:hAnsi="Arial" w:cs="Arial"/>
        </w:rPr>
        <w:t>Caldalor</w:t>
      </w:r>
      <w:proofErr w:type="spellEnd"/>
      <w:r w:rsidRPr="009B7C7C">
        <w:rPr>
          <w:rFonts w:ascii="Arial" w:eastAsia="Arial" w:hAnsi="Arial" w:cs="Arial"/>
        </w:rPr>
        <w:t xml:space="preserve">) - 800 mg IV </w:t>
      </w:r>
    </w:p>
    <w:p w14:paraId="7D515574" w14:textId="77777777" w:rsidR="00DD5716" w:rsidRPr="009B7C7C" w:rsidRDefault="009B7C7C" w:rsidP="009B7C7C">
      <w:pPr>
        <w:numPr>
          <w:ilvl w:val="0"/>
          <w:numId w:val="5"/>
        </w:numPr>
        <w:spacing w:after="120" w:line="259" w:lineRule="auto"/>
        <w:rPr>
          <w:rFonts w:ascii="Arial" w:eastAsia="Arial" w:hAnsi="Arial" w:cs="Arial"/>
        </w:rPr>
      </w:pPr>
      <w:r w:rsidRPr="009B7C7C">
        <w:rPr>
          <w:rFonts w:ascii="Arial" w:eastAsia="Arial" w:hAnsi="Arial" w:cs="Arial"/>
        </w:rPr>
        <w:t>Opioid recommendations:</w:t>
      </w:r>
    </w:p>
    <w:p w14:paraId="1D618863" w14:textId="77777777" w:rsidR="00DD5716" w:rsidRPr="009B7C7C" w:rsidRDefault="009B7C7C" w:rsidP="009B7C7C">
      <w:pPr>
        <w:numPr>
          <w:ilvl w:val="1"/>
          <w:numId w:val="5"/>
        </w:numPr>
        <w:spacing w:after="120" w:line="259" w:lineRule="auto"/>
        <w:rPr>
          <w:rFonts w:ascii="Arial" w:eastAsia="Arial" w:hAnsi="Arial" w:cs="Arial"/>
        </w:rPr>
      </w:pPr>
      <w:r w:rsidRPr="009B7C7C">
        <w:rPr>
          <w:rFonts w:ascii="Arial" w:eastAsia="Arial" w:hAnsi="Arial" w:cs="Arial"/>
        </w:rPr>
        <w:t>Induction: Fentanyl 50-100 mcg</w:t>
      </w:r>
    </w:p>
    <w:p w14:paraId="2D2B8060" w14:textId="6D8458C8" w:rsidR="00DD5716" w:rsidRPr="009B7C7C" w:rsidRDefault="009B7C7C" w:rsidP="009B7C7C">
      <w:pPr>
        <w:numPr>
          <w:ilvl w:val="1"/>
          <w:numId w:val="5"/>
        </w:numPr>
        <w:spacing w:after="120" w:line="259" w:lineRule="auto"/>
        <w:rPr>
          <w:rFonts w:ascii="Arial" w:eastAsia="Arial" w:hAnsi="Arial" w:cs="Arial"/>
        </w:rPr>
      </w:pPr>
      <w:r w:rsidRPr="009B7C7C">
        <w:rPr>
          <w:rFonts w:ascii="Arial" w:eastAsia="Arial" w:hAnsi="Arial" w:cs="Arial"/>
        </w:rPr>
        <w:t xml:space="preserve">Maintenance: fentanyl may not be necessary in most patients. </w:t>
      </w:r>
      <w:r>
        <w:rPr>
          <w:rFonts w:ascii="Arial" w:eastAsia="Arial" w:hAnsi="Arial" w:cs="Arial"/>
        </w:rPr>
        <w:t xml:space="preserve"> R</w:t>
      </w:r>
      <w:r w:rsidRPr="009B7C7C">
        <w:rPr>
          <w:rFonts w:ascii="Arial" w:eastAsia="Arial" w:hAnsi="Arial" w:cs="Arial"/>
        </w:rPr>
        <w:t>ecommend to limit fentanyl to 50 mcg/</w:t>
      </w:r>
      <w:proofErr w:type="spellStart"/>
      <w:r w:rsidRPr="009B7C7C">
        <w:rPr>
          <w:rFonts w:ascii="Arial" w:eastAsia="Arial" w:hAnsi="Arial" w:cs="Arial"/>
        </w:rPr>
        <w:t>hr</w:t>
      </w:r>
      <w:proofErr w:type="spellEnd"/>
      <w:r w:rsidRPr="009B7C7C">
        <w:rPr>
          <w:rFonts w:ascii="Arial" w:eastAsia="Arial" w:hAnsi="Arial" w:cs="Arial"/>
        </w:rPr>
        <w:t xml:space="preserve"> </w:t>
      </w:r>
    </w:p>
    <w:p w14:paraId="26F61D2A" w14:textId="24C1E112" w:rsidR="00DD5716" w:rsidRPr="009B7C7C" w:rsidRDefault="009B7C7C" w:rsidP="009B7C7C">
      <w:pPr>
        <w:numPr>
          <w:ilvl w:val="1"/>
          <w:numId w:val="5"/>
        </w:numPr>
        <w:spacing w:after="120" w:line="259" w:lineRule="auto"/>
        <w:rPr>
          <w:rFonts w:ascii="Arial" w:eastAsia="Arial" w:hAnsi="Arial" w:cs="Arial"/>
        </w:rPr>
      </w:pPr>
      <w:r w:rsidRPr="009B7C7C">
        <w:rPr>
          <w:rFonts w:ascii="Arial" w:eastAsia="Arial" w:hAnsi="Arial" w:cs="Arial"/>
        </w:rPr>
        <w:t>For Chronic Opiate Use: Recommend Ketamine 30 mg/hour in addition to lidocaine infusion.</w:t>
      </w:r>
    </w:p>
    <w:p w14:paraId="5B156B57" w14:textId="77777777" w:rsidR="00DD5716" w:rsidRPr="009B7C7C" w:rsidRDefault="009B7C7C" w:rsidP="009B7C7C">
      <w:pPr>
        <w:numPr>
          <w:ilvl w:val="0"/>
          <w:numId w:val="5"/>
        </w:numPr>
        <w:spacing w:after="120" w:line="259" w:lineRule="auto"/>
        <w:rPr>
          <w:rFonts w:ascii="Arial" w:eastAsia="Arial" w:hAnsi="Arial" w:cs="Arial"/>
        </w:rPr>
      </w:pPr>
      <w:r w:rsidRPr="009B7C7C">
        <w:rPr>
          <w:rFonts w:ascii="Arial" w:eastAsia="Arial" w:hAnsi="Arial" w:cs="Arial"/>
        </w:rPr>
        <w:t xml:space="preserve">Fluid Management: </w:t>
      </w:r>
    </w:p>
    <w:p w14:paraId="433FD982" w14:textId="77777777" w:rsidR="00DD5716" w:rsidRPr="009B7C7C" w:rsidRDefault="009B7C7C" w:rsidP="00917F59">
      <w:pPr>
        <w:numPr>
          <w:ilvl w:val="1"/>
          <w:numId w:val="5"/>
        </w:numPr>
        <w:spacing w:after="120" w:line="259" w:lineRule="auto"/>
        <w:rPr>
          <w:rFonts w:ascii="Arial" w:eastAsia="Arial" w:hAnsi="Arial" w:cs="Arial"/>
        </w:rPr>
      </w:pPr>
      <w:r w:rsidRPr="009B7C7C">
        <w:rPr>
          <w:rFonts w:ascii="Arial" w:eastAsia="Arial" w:hAnsi="Arial" w:cs="Arial"/>
        </w:rPr>
        <w:t xml:space="preserve">Lactated Ringers on </w:t>
      </w:r>
      <w:proofErr w:type="spellStart"/>
      <w:r w:rsidRPr="009B7C7C">
        <w:rPr>
          <w:rFonts w:ascii="Arial" w:eastAsia="Arial" w:hAnsi="Arial" w:cs="Arial"/>
        </w:rPr>
        <w:t>Alaris</w:t>
      </w:r>
      <w:proofErr w:type="spellEnd"/>
      <w:r w:rsidRPr="009B7C7C">
        <w:rPr>
          <w:rFonts w:ascii="Arial" w:eastAsia="Arial" w:hAnsi="Arial" w:cs="Arial"/>
        </w:rPr>
        <w:t xml:space="preserve"> Pump at 2-3 mL/kg/hr. </w:t>
      </w:r>
    </w:p>
    <w:p w14:paraId="48AF3831" w14:textId="77777777" w:rsidR="00DD5716" w:rsidRPr="009B7C7C" w:rsidRDefault="009B7C7C" w:rsidP="00917F59">
      <w:pPr>
        <w:numPr>
          <w:ilvl w:val="1"/>
          <w:numId w:val="5"/>
        </w:numPr>
        <w:spacing w:after="120" w:line="259" w:lineRule="auto"/>
        <w:rPr>
          <w:rFonts w:ascii="Arial" w:eastAsia="Arial" w:hAnsi="Arial" w:cs="Arial"/>
        </w:rPr>
      </w:pPr>
      <w:r w:rsidRPr="009B7C7C">
        <w:rPr>
          <w:rFonts w:ascii="Arial" w:eastAsia="Arial" w:hAnsi="Arial" w:cs="Arial"/>
        </w:rPr>
        <w:t xml:space="preserve">Fluid boluses as needed.  </w:t>
      </w:r>
    </w:p>
    <w:p w14:paraId="2EE614BF" w14:textId="77777777" w:rsidR="00DD5716" w:rsidRPr="009B7C7C" w:rsidRDefault="009B7C7C" w:rsidP="009B7C7C">
      <w:pPr>
        <w:numPr>
          <w:ilvl w:val="0"/>
          <w:numId w:val="5"/>
        </w:numPr>
        <w:spacing w:after="120" w:line="259" w:lineRule="auto"/>
        <w:rPr>
          <w:rFonts w:ascii="Arial" w:eastAsia="Arial" w:hAnsi="Arial" w:cs="Arial"/>
        </w:rPr>
      </w:pPr>
      <w:r w:rsidRPr="009B7C7C">
        <w:rPr>
          <w:rFonts w:ascii="Arial" w:eastAsia="Arial" w:hAnsi="Arial" w:cs="Arial"/>
        </w:rPr>
        <w:t>Emergence: Acetaminophen (</w:t>
      </w:r>
      <w:proofErr w:type="spellStart"/>
      <w:r w:rsidRPr="009B7C7C">
        <w:rPr>
          <w:rFonts w:ascii="Arial" w:eastAsia="Arial" w:hAnsi="Arial" w:cs="Arial"/>
        </w:rPr>
        <w:t>Ofirmev</w:t>
      </w:r>
      <w:proofErr w:type="spellEnd"/>
      <w:r w:rsidRPr="009B7C7C">
        <w:rPr>
          <w:rFonts w:ascii="Arial" w:eastAsia="Arial" w:hAnsi="Arial" w:cs="Arial"/>
        </w:rPr>
        <w:t xml:space="preserve">) 1 g IV &amp; Ondansetron (Zofran) 4 mg IV  </w:t>
      </w:r>
    </w:p>
    <w:p w14:paraId="561967DD" w14:textId="77777777" w:rsidR="00DD5716" w:rsidRDefault="00DD5716">
      <w:pPr>
        <w:spacing w:after="120" w:line="259" w:lineRule="auto"/>
        <w:rPr>
          <w:rFonts w:ascii="Arial" w:eastAsia="Arial" w:hAnsi="Arial" w:cs="Arial"/>
        </w:rPr>
      </w:pPr>
    </w:p>
    <w:p w14:paraId="6B666EAE" w14:textId="77777777" w:rsidR="00DD5716" w:rsidRDefault="009B7C7C" w:rsidP="48183505">
      <w:pPr>
        <w:spacing w:after="120" w:line="259" w:lineRule="auto"/>
        <w:rPr>
          <w:rFonts w:ascii="Arial" w:eastAsia="Arial" w:hAnsi="Arial" w:cs="Arial"/>
        </w:rPr>
      </w:pPr>
      <w:r w:rsidRPr="48183505">
        <w:rPr>
          <w:rFonts w:ascii="Arial" w:eastAsia="Arial" w:hAnsi="Arial" w:cs="Arial"/>
        </w:rPr>
        <w:t>------------------------</w:t>
      </w:r>
    </w:p>
    <w:p w14:paraId="40EAE039" w14:textId="77777777" w:rsidR="00DD5716" w:rsidRDefault="009B7C7C" w:rsidP="48183505">
      <w:pPr>
        <w:spacing w:after="120" w:line="259" w:lineRule="auto"/>
        <w:rPr>
          <w:rFonts w:ascii="Arial" w:eastAsia="Arial" w:hAnsi="Arial" w:cs="Arial"/>
        </w:rPr>
      </w:pPr>
      <w:r w:rsidRPr="48183505">
        <w:rPr>
          <w:rFonts w:ascii="Arial" w:eastAsia="Arial" w:hAnsi="Arial" w:cs="Arial"/>
        </w:rPr>
        <w:t xml:space="preserve">Below are listed other components of the ERAS protocol that will be performed by the gynecology team. The goal of our ERAS program is to utilize best clinical practices to decrease the physiological stress response to surgery. The protocol includes multimodal analgesia to facilitate less opioid use, a multimodal approach to prevention of PONV, and maintenance of normal fluid status. </w:t>
      </w:r>
    </w:p>
    <w:p w14:paraId="4E062C3B" w14:textId="77777777" w:rsidR="00DD5716" w:rsidRDefault="009B7C7C" w:rsidP="48183505">
      <w:pPr>
        <w:spacing w:after="120" w:line="259" w:lineRule="auto"/>
        <w:rPr>
          <w:rFonts w:ascii="Arial" w:eastAsia="Arial" w:hAnsi="Arial" w:cs="Arial"/>
        </w:rPr>
      </w:pPr>
      <w:r w:rsidRPr="48183505">
        <w:rPr>
          <w:rFonts w:ascii="Arial" w:eastAsia="Arial" w:hAnsi="Arial" w:cs="Arial"/>
        </w:rPr>
        <w:t xml:space="preserve"> </w:t>
      </w:r>
      <w:r w:rsidRPr="48183505">
        <w:rPr>
          <w:rFonts w:ascii="Arial" w:eastAsia="Arial" w:hAnsi="Arial" w:cs="Arial"/>
          <w:b/>
          <w:bCs/>
        </w:rPr>
        <w:t xml:space="preserve">Preoperative: </w:t>
      </w:r>
      <w:r w:rsidRPr="48183505">
        <w:rPr>
          <w:rFonts w:ascii="Arial" w:eastAsia="Arial" w:hAnsi="Arial" w:cs="Arial"/>
        </w:rPr>
        <w:t xml:space="preserve"> </w:t>
      </w:r>
    </w:p>
    <w:p w14:paraId="1BBE40AA" w14:textId="77777777" w:rsidR="00DD5716" w:rsidRDefault="009B7C7C" w:rsidP="48183505">
      <w:pPr>
        <w:numPr>
          <w:ilvl w:val="0"/>
          <w:numId w:val="2"/>
        </w:numPr>
        <w:spacing w:after="120" w:line="259" w:lineRule="auto"/>
        <w:ind w:left="720" w:hanging="360"/>
        <w:rPr>
          <w:rFonts w:ascii="Arial" w:eastAsia="Arial" w:hAnsi="Arial" w:cs="Arial"/>
          <w:color w:val="F79646" w:themeColor="accent6"/>
        </w:rPr>
      </w:pPr>
      <w:r w:rsidRPr="48183505">
        <w:rPr>
          <w:rFonts w:ascii="Arial" w:eastAsia="Arial" w:hAnsi="Arial" w:cs="Arial"/>
        </w:rPr>
        <w:t xml:space="preserve">Preoperative preparation: </w:t>
      </w:r>
    </w:p>
    <w:p w14:paraId="58A23E31" w14:textId="77777777" w:rsidR="00DD5716" w:rsidRDefault="009B7C7C" w:rsidP="48183505">
      <w:pPr>
        <w:numPr>
          <w:ilvl w:val="0"/>
          <w:numId w:val="2"/>
        </w:numPr>
        <w:spacing w:after="120" w:line="259" w:lineRule="auto"/>
        <w:ind w:left="1440" w:hanging="360"/>
        <w:rPr>
          <w:rFonts w:ascii="Arial" w:eastAsia="Arial" w:hAnsi="Arial" w:cs="Arial"/>
          <w:color w:val="F79646" w:themeColor="accent6"/>
        </w:rPr>
      </w:pPr>
      <w:proofErr w:type="gramStart"/>
      <w:r w:rsidRPr="48183505">
        <w:rPr>
          <w:rFonts w:ascii="Arial" w:eastAsia="Arial" w:hAnsi="Arial" w:cs="Arial"/>
        </w:rPr>
        <w:t>correction</w:t>
      </w:r>
      <w:proofErr w:type="gramEnd"/>
      <w:r w:rsidRPr="48183505">
        <w:rPr>
          <w:rFonts w:ascii="Arial" w:eastAsia="Arial" w:hAnsi="Arial" w:cs="Arial"/>
        </w:rPr>
        <w:t xml:space="preserve"> of anemia</w:t>
      </w:r>
    </w:p>
    <w:p w14:paraId="5D8F5045" w14:textId="77777777" w:rsidR="00DD5716" w:rsidRDefault="009B7C7C" w:rsidP="48183505">
      <w:pPr>
        <w:numPr>
          <w:ilvl w:val="0"/>
          <w:numId w:val="2"/>
        </w:numPr>
        <w:spacing w:after="120" w:line="259" w:lineRule="auto"/>
        <w:ind w:left="1440" w:hanging="360"/>
        <w:rPr>
          <w:rFonts w:ascii="Arial" w:eastAsia="Arial" w:hAnsi="Arial" w:cs="Arial"/>
          <w:color w:val="F79646" w:themeColor="accent6"/>
        </w:rPr>
      </w:pPr>
      <w:proofErr w:type="gramStart"/>
      <w:r w:rsidRPr="48183505">
        <w:rPr>
          <w:rFonts w:ascii="Arial" w:eastAsia="Arial" w:hAnsi="Arial" w:cs="Arial"/>
        </w:rPr>
        <w:t>adequate</w:t>
      </w:r>
      <w:proofErr w:type="gramEnd"/>
      <w:r w:rsidRPr="48183505">
        <w:rPr>
          <w:rFonts w:ascii="Arial" w:eastAsia="Arial" w:hAnsi="Arial" w:cs="Arial"/>
        </w:rPr>
        <w:t xml:space="preserve"> control of hypertension and diabetes</w:t>
      </w:r>
    </w:p>
    <w:p w14:paraId="29BBEC7E" w14:textId="77777777" w:rsidR="00DD5716" w:rsidRDefault="009B7C7C" w:rsidP="48183505">
      <w:pPr>
        <w:numPr>
          <w:ilvl w:val="0"/>
          <w:numId w:val="2"/>
        </w:numPr>
        <w:spacing w:after="120" w:line="259" w:lineRule="auto"/>
        <w:ind w:left="1440" w:hanging="360"/>
        <w:rPr>
          <w:rFonts w:ascii="Arial" w:eastAsia="Arial" w:hAnsi="Arial" w:cs="Arial"/>
          <w:color w:val="F79646" w:themeColor="accent6"/>
        </w:rPr>
      </w:pPr>
      <w:proofErr w:type="gramStart"/>
      <w:r w:rsidRPr="48183505">
        <w:rPr>
          <w:rFonts w:ascii="Arial" w:eastAsia="Arial" w:hAnsi="Arial" w:cs="Arial"/>
        </w:rPr>
        <w:t>smoking</w:t>
      </w:r>
      <w:proofErr w:type="gramEnd"/>
      <w:r w:rsidRPr="48183505">
        <w:rPr>
          <w:rFonts w:ascii="Arial" w:eastAsia="Arial" w:hAnsi="Arial" w:cs="Arial"/>
        </w:rPr>
        <w:t xml:space="preserve"> cessation</w:t>
      </w:r>
    </w:p>
    <w:p w14:paraId="59BC0868" w14:textId="77777777" w:rsidR="00DD5716" w:rsidRDefault="009B7C7C" w:rsidP="48183505">
      <w:pPr>
        <w:numPr>
          <w:ilvl w:val="0"/>
          <w:numId w:val="2"/>
        </w:numPr>
        <w:spacing w:after="120" w:line="259" w:lineRule="auto"/>
        <w:ind w:left="1440" w:hanging="360"/>
        <w:rPr>
          <w:rFonts w:ascii="Arial" w:eastAsia="Arial" w:hAnsi="Arial" w:cs="Arial"/>
          <w:color w:val="F79646" w:themeColor="accent6"/>
        </w:rPr>
      </w:pPr>
      <w:proofErr w:type="gramStart"/>
      <w:r w:rsidRPr="48183505">
        <w:rPr>
          <w:rFonts w:ascii="Arial" w:eastAsia="Arial" w:hAnsi="Arial" w:cs="Arial"/>
        </w:rPr>
        <w:lastRenderedPageBreak/>
        <w:t>encouraging</w:t>
      </w:r>
      <w:proofErr w:type="gramEnd"/>
      <w:r w:rsidRPr="48183505">
        <w:rPr>
          <w:rFonts w:ascii="Arial" w:eastAsia="Arial" w:hAnsi="Arial" w:cs="Arial"/>
        </w:rPr>
        <w:t xml:space="preserve"> weight loss.</w:t>
      </w:r>
    </w:p>
    <w:p w14:paraId="4A1FDC72" w14:textId="77777777" w:rsidR="00DD5716" w:rsidRDefault="009B7C7C" w:rsidP="48183505">
      <w:pPr>
        <w:numPr>
          <w:ilvl w:val="0"/>
          <w:numId w:val="2"/>
        </w:numPr>
        <w:spacing w:after="120" w:line="259" w:lineRule="auto"/>
        <w:ind w:left="1440" w:hanging="360"/>
        <w:rPr>
          <w:rFonts w:ascii="Arial" w:eastAsia="Arial" w:hAnsi="Arial" w:cs="Arial"/>
          <w:color w:val="F79646" w:themeColor="accent6"/>
        </w:rPr>
      </w:pPr>
      <w:proofErr w:type="gramStart"/>
      <w:r w:rsidRPr="48183505">
        <w:rPr>
          <w:rFonts w:ascii="Arial" w:eastAsia="Arial" w:hAnsi="Arial" w:cs="Arial"/>
        </w:rPr>
        <w:t>educational</w:t>
      </w:r>
      <w:proofErr w:type="gramEnd"/>
      <w:r w:rsidRPr="48183505">
        <w:rPr>
          <w:rFonts w:ascii="Arial" w:eastAsia="Arial" w:hAnsi="Arial" w:cs="Arial"/>
        </w:rPr>
        <w:t xml:space="preserve"> material regarding their surgery and recovery. </w:t>
      </w:r>
    </w:p>
    <w:p w14:paraId="3FA07F9E" w14:textId="77777777" w:rsidR="00DD5716" w:rsidRDefault="009B7C7C" w:rsidP="48183505">
      <w:pPr>
        <w:numPr>
          <w:ilvl w:val="0"/>
          <w:numId w:val="2"/>
        </w:numPr>
        <w:spacing w:after="120" w:line="259" w:lineRule="auto"/>
        <w:ind w:left="1440" w:hanging="360"/>
        <w:rPr>
          <w:rFonts w:ascii="Arial" w:eastAsia="Arial" w:hAnsi="Arial" w:cs="Arial"/>
          <w:color w:val="F79646" w:themeColor="accent6"/>
        </w:rPr>
      </w:pPr>
      <w:r w:rsidRPr="48183505">
        <w:rPr>
          <w:rFonts w:ascii="Arial" w:eastAsia="Arial" w:hAnsi="Arial" w:cs="Arial"/>
        </w:rPr>
        <w:t xml:space="preserve">Mechanical bowel preparation will only be done in patients with history of significant abdominal surgery.  </w:t>
      </w:r>
    </w:p>
    <w:p w14:paraId="28B094EF" w14:textId="77777777" w:rsidR="00DD5716" w:rsidRDefault="009B7C7C" w:rsidP="48183505">
      <w:pPr>
        <w:numPr>
          <w:ilvl w:val="0"/>
          <w:numId w:val="2"/>
        </w:numPr>
        <w:spacing w:after="120" w:line="259" w:lineRule="auto"/>
        <w:ind w:left="720" w:hanging="360"/>
        <w:rPr>
          <w:rFonts w:ascii="Arial" w:eastAsia="Arial" w:hAnsi="Arial" w:cs="Arial"/>
          <w:color w:val="F79646" w:themeColor="accent6"/>
        </w:rPr>
      </w:pPr>
      <w:r w:rsidRPr="48183505">
        <w:rPr>
          <w:rFonts w:ascii="Arial" w:eastAsia="Arial" w:hAnsi="Arial" w:cs="Arial"/>
        </w:rPr>
        <w:t xml:space="preserve">Standard NPO policies with allowance of clear fluids 2 hours prior to surgery.  </w:t>
      </w:r>
    </w:p>
    <w:p w14:paraId="4207FBB3" w14:textId="77777777" w:rsidR="00DD5716" w:rsidRDefault="009B7C7C" w:rsidP="48183505">
      <w:pPr>
        <w:numPr>
          <w:ilvl w:val="0"/>
          <w:numId w:val="2"/>
        </w:numPr>
        <w:spacing w:after="120" w:line="259" w:lineRule="auto"/>
        <w:ind w:left="720" w:hanging="360"/>
        <w:rPr>
          <w:rFonts w:ascii="Arial" w:eastAsia="Arial" w:hAnsi="Arial" w:cs="Arial"/>
          <w:color w:val="F79646" w:themeColor="accent6"/>
        </w:rPr>
      </w:pPr>
      <w:r w:rsidRPr="48183505">
        <w:rPr>
          <w:rFonts w:ascii="Arial" w:eastAsia="Arial" w:hAnsi="Arial" w:cs="Arial"/>
        </w:rPr>
        <w:t xml:space="preserve">Carbohydrate beverage drink the night before surgery and 2 hours prior to surgery.  </w:t>
      </w:r>
    </w:p>
    <w:p w14:paraId="68217503" w14:textId="77777777" w:rsidR="00DD5716" w:rsidRDefault="009B7C7C" w:rsidP="48183505">
      <w:pPr>
        <w:numPr>
          <w:ilvl w:val="0"/>
          <w:numId w:val="2"/>
        </w:numPr>
        <w:spacing w:after="120" w:line="259" w:lineRule="auto"/>
        <w:ind w:left="720" w:hanging="360"/>
        <w:rPr>
          <w:rFonts w:ascii="Arial" w:eastAsia="Arial" w:hAnsi="Arial" w:cs="Arial"/>
          <w:color w:val="F79646" w:themeColor="accent6"/>
        </w:rPr>
      </w:pPr>
      <w:r w:rsidRPr="48183505">
        <w:rPr>
          <w:rFonts w:ascii="Arial" w:eastAsia="Arial" w:hAnsi="Arial" w:cs="Arial"/>
        </w:rPr>
        <w:t xml:space="preserve">Lyrica 150 mg given by preop nursing </w:t>
      </w:r>
    </w:p>
    <w:p w14:paraId="64D761A4" w14:textId="77777777" w:rsidR="00DD5716" w:rsidRDefault="009B7C7C" w:rsidP="48183505">
      <w:pPr>
        <w:numPr>
          <w:ilvl w:val="0"/>
          <w:numId w:val="2"/>
        </w:numPr>
        <w:spacing w:after="120" w:line="259" w:lineRule="auto"/>
        <w:ind w:left="720" w:hanging="360"/>
        <w:rPr>
          <w:rFonts w:ascii="Arial" w:eastAsia="Arial" w:hAnsi="Arial" w:cs="Arial"/>
          <w:color w:val="F79646" w:themeColor="accent6"/>
        </w:rPr>
      </w:pPr>
      <w:r w:rsidRPr="48183505">
        <w:rPr>
          <w:rFonts w:ascii="Arial" w:eastAsia="Arial" w:hAnsi="Arial" w:cs="Arial"/>
        </w:rPr>
        <w:t xml:space="preserve">PONV Patient. </w:t>
      </w:r>
      <w:proofErr w:type="spellStart"/>
      <w:r w:rsidRPr="48183505">
        <w:rPr>
          <w:rFonts w:ascii="Arial" w:eastAsia="Arial" w:hAnsi="Arial" w:cs="Arial"/>
        </w:rPr>
        <w:t>Scopalamine</w:t>
      </w:r>
      <w:proofErr w:type="spellEnd"/>
      <w:r w:rsidRPr="48183505">
        <w:rPr>
          <w:rFonts w:ascii="Arial" w:eastAsia="Arial" w:hAnsi="Arial" w:cs="Arial"/>
        </w:rPr>
        <w:t xml:space="preserve"> patch night before surgery.  </w:t>
      </w:r>
    </w:p>
    <w:p w14:paraId="6774042C" w14:textId="77777777" w:rsidR="00DD5716" w:rsidRDefault="00DD5716">
      <w:pPr>
        <w:spacing w:after="120" w:line="259" w:lineRule="auto"/>
        <w:rPr>
          <w:rFonts w:ascii="Arial" w:eastAsia="Arial" w:hAnsi="Arial" w:cs="Arial"/>
        </w:rPr>
      </w:pPr>
    </w:p>
    <w:p w14:paraId="241EFED2" w14:textId="77777777" w:rsidR="00DD5716" w:rsidRDefault="009B7C7C" w:rsidP="48183505">
      <w:pPr>
        <w:spacing w:after="120" w:line="259" w:lineRule="auto"/>
        <w:rPr>
          <w:rFonts w:ascii="Arial" w:eastAsia="Arial" w:hAnsi="Arial" w:cs="Arial"/>
        </w:rPr>
      </w:pPr>
      <w:r w:rsidRPr="48183505">
        <w:rPr>
          <w:rFonts w:ascii="Arial" w:eastAsia="Arial" w:hAnsi="Arial" w:cs="Arial"/>
        </w:rPr>
        <w:t xml:space="preserve"> </w:t>
      </w:r>
      <w:r w:rsidRPr="48183505">
        <w:rPr>
          <w:rFonts w:ascii="Arial" w:eastAsia="Arial" w:hAnsi="Arial" w:cs="Arial"/>
          <w:b/>
          <w:bCs/>
        </w:rPr>
        <w:t xml:space="preserve">Postoperative: </w:t>
      </w:r>
      <w:r w:rsidRPr="48183505">
        <w:rPr>
          <w:rFonts w:ascii="Arial" w:eastAsia="Arial" w:hAnsi="Arial" w:cs="Arial"/>
        </w:rPr>
        <w:t xml:space="preserve"> </w:t>
      </w:r>
    </w:p>
    <w:p w14:paraId="4A3AFCE1" w14:textId="77777777" w:rsidR="00DD5716" w:rsidRDefault="009B7C7C" w:rsidP="48183505">
      <w:pPr>
        <w:numPr>
          <w:ilvl w:val="0"/>
          <w:numId w:val="3"/>
        </w:numPr>
        <w:spacing w:after="120" w:line="259" w:lineRule="auto"/>
        <w:ind w:left="720" w:hanging="360"/>
        <w:rPr>
          <w:rFonts w:ascii="Arial" w:eastAsia="Arial" w:hAnsi="Arial" w:cs="Arial"/>
          <w:color w:val="F79646" w:themeColor="accent6"/>
        </w:rPr>
      </w:pPr>
      <w:r w:rsidRPr="48183505">
        <w:rPr>
          <w:rFonts w:ascii="Arial" w:eastAsia="Arial" w:hAnsi="Arial" w:cs="Arial"/>
        </w:rPr>
        <w:t xml:space="preserve">Analgesics: </w:t>
      </w:r>
      <w:proofErr w:type="spellStart"/>
      <w:r w:rsidRPr="48183505">
        <w:rPr>
          <w:rFonts w:ascii="Arial" w:eastAsia="Arial" w:hAnsi="Arial" w:cs="Arial"/>
        </w:rPr>
        <w:t>Ibuprophen</w:t>
      </w:r>
      <w:proofErr w:type="spellEnd"/>
      <w:r w:rsidRPr="48183505">
        <w:rPr>
          <w:rFonts w:ascii="Arial" w:eastAsia="Arial" w:hAnsi="Arial" w:cs="Arial"/>
        </w:rPr>
        <w:t xml:space="preserve"> 800 mg IV – 6 hours after first dose </w:t>
      </w:r>
    </w:p>
    <w:p w14:paraId="7EFD2833" w14:textId="77777777" w:rsidR="00DD5716" w:rsidRDefault="009B7C7C" w:rsidP="48183505">
      <w:pPr>
        <w:numPr>
          <w:ilvl w:val="0"/>
          <w:numId w:val="3"/>
        </w:numPr>
        <w:spacing w:after="120" w:line="259" w:lineRule="auto"/>
        <w:ind w:left="720" w:hanging="360"/>
        <w:rPr>
          <w:rFonts w:ascii="Arial" w:eastAsia="Arial" w:hAnsi="Arial" w:cs="Arial"/>
          <w:color w:val="F79646" w:themeColor="accent6"/>
        </w:rPr>
      </w:pPr>
      <w:r w:rsidRPr="48183505">
        <w:rPr>
          <w:rFonts w:ascii="Arial" w:eastAsia="Arial" w:hAnsi="Arial" w:cs="Arial"/>
        </w:rPr>
        <w:t>Early oral intake. Chewing gum to aid in bowel function recovery</w:t>
      </w:r>
    </w:p>
    <w:p w14:paraId="47013911" w14:textId="77777777" w:rsidR="00DD5716" w:rsidRDefault="00DD5716">
      <w:pPr>
        <w:spacing w:after="120" w:line="259" w:lineRule="auto"/>
        <w:rPr>
          <w:rFonts w:ascii="Arial" w:eastAsia="Arial" w:hAnsi="Arial" w:cs="Arial"/>
        </w:rPr>
      </w:pPr>
    </w:p>
    <w:p w14:paraId="6193AA5E" w14:textId="3EBD3324" w:rsidR="00DD5716" w:rsidRDefault="009B7C7C" w:rsidP="48183505">
      <w:pPr>
        <w:spacing w:after="120" w:line="259" w:lineRule="auto"/>
        <w:rPr>
          <w:rFonts w:ascii="Arial" w:eastAsia="Arial" w:hAnsi="Arial" w:cs="Arial"/>
        </w:rPr>
      </w:pPr>
      <w:r w:rsidRPr="48183505">
        <w:rPr>
          <w:rFonts w:ascii="Arial" w:eastAsia="Arial" w:hAnsi="Arial" w:cs="Arial"/>
        </w:rPr>
        <w:t xml:space="preserve">Please contact one of us if you have any additional questions regarding the ERAS </w:t>
      </w:r>
      <w:r w:rsidR="00917F59" w:rsidRPr="48183505">
        <w:rPr>
          <w:rFonts w:ascii="Arial" w:eastAsia="Arial" w:hAnsi="Arial" w:cs="Arial"/>
        </w:rPr>
        <w:t>Gynecology</w:t>
      </w:r>
      <w:r w:rsidRPr="48183505">
        <w:rPr>
          <w:rFonts w:ascii="Arial" w:eastAsia="Arial" w:hAnsi="Arial" w:cs="Arial"/>
        </w:rPr>
        <w:t xml:space="preserve"> protocol. Thank you for your support in implementing this protocol. </w:t>
      </w:r>
    </w:p>
    <w:p w14:paraId="6704A738" w14:textId="77777777" w:rsidR="00DD5716" w:rsidRDefault="00DD5716">
      <w:pPr>
        <w:spacing w:after="120" w:line="259" w:lineRule="auto"/>
        <w:rPr>
          <w:rFonts w:ascii="Arial" w:eastAsia="Arial" w:hAnsi="Arial" w:cs="Arial"/>
        </w:rPr>
      </w:pPr>
    </w:p>
    <w:p w14:paraId="73995BB0" w14:textId="77777777" w:rsidR="00DD5716" w:rsidRDefault="009B7C7C" w:rsidP="48183505">
      <w:pPr>
        <w:spacing w:after="120" w:line="259" w:lineRule="auto"/>
        <w:rPr>
          <w:rFonts w:ascii="Arial" w:eastAsia="Arial" w:hAnsi="Arial" w:cs="Arial"/>
        </w:rPr>
      </w:pPr>
      <w:r w:rsidRPr="48183505">
        <w:rPr>
          <w:rFonts w:ascii="Arial" w:eastAsia="Arial" w:hAnsi="Arial" w:cs="Arial"/>
        </w:rPr>
        <w:t xml:space="preserve">Sincerely, </w:t>
      </w:r>
    </w:p>
    <w:p w14:paraId="0E9239AE" w14:textId="77777777" w:rsidR="00DD5716" w:rsidRDefault="009B7C7C" w:rsidP="48183505">
      <w:pPr>
        <w:spacing w:after="120" w:line="259" w:lineRule="auto"/>
        <w:rPr>
          <w:rFonts w:ascii="Arial" w:eastAsia="Arial" w:hAnsi="Arial" w:cs="Arial"/>
        </w:rPr>
      </w:pPr>
      <w:r w:rsidRPr="48183505">
        <w:rPr>
          <w:rFonts w:ascii="Arial" w:eastAsia="Arial" w:hAnsi="Arial" w:cs="Arial"/>
        </w:rPr>
        <w:t xml:space="preserve">Rishi </w:t>
      </w:r>
      <w:proofErr w:type="spellStart"/>
      <w:r w:rsidRPr="48183505">
        <w:rPr>
          <w:rFonts w:ascii="Arial" w:eastAsia="Arial" w:hAnsi="Arial" w:cs="Arial"/>
        </w:rPr>
        <w:t>Adsumelli</w:t>
      </w:r>
      <w:proofErr w:type="spellEnd"/>
      <w:r w:rsidRPr="48183505">
        <w:rPr>
          <w:rFonts w:ascii="Arial" w:eastAsia="Arial" w:hAnsi="Arial" w:cs="Arial"/>
        </w:rPr>
        <w:t xml:space="preserve"> (631-624-7040)</w:t>
      </w:r>
    </w:p>
    <w:p w14:paraId="1545AAC3" w14:textId="77777777" w:rsidR="00DD5716" w:rsidRDefault="009B7C7C" w:rsidP="48183505">
      <w:pPr>
        <w:spacing w:after="120" w:line="259" w:lineRule="auto"/>
        <w:rPr>
          <w:rFonts w:ascii="Arial" w:eastAsia="Arial" w:hAnsi="Arial" w:cs="Arial"/>
        </w:rPr>
      </w:pPr>
      <w:r w:rsidRPr="48183505">
        <w:rPr>
          <w:rFonts w:ascii="Arial" w:eastAsia="Arial" w:hAnsi="Arial" w:cs="Arial"/>
        </w:rPr>
        <w:t>Ramon Abola (631-624-7045)</w:t>
      </w:r>
    </w:p>
    <w:p w14:paraId="309988B2" w14:textId="77777777" w:rsidR="009B7C7C" w:rsidRDefault="009B7C7C"/>
    <w:sectPr w:rsidR="009B7C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816E1"/>
    <w:multiLevelType w:val="hybridMultilevel"/>
    <w:tmpl w:val="E5521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5A5361"/>
    <w:multiLevelType w:val="multilevel"/>
    <w:tmpl w:val="0C321A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5B03B51"/>
    <w:multiLevelType w:val="multilevel"/>
    <w:tmpl w:val="9704E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649716F"/>
    <w:multiLevelType w:val="hybridMultilevel"/>
    <w:tmpl w:val="0484A7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C7AAC"/>
    <w:multiLevelType w:val="multilevel"/>
    <w:tmpl w:val="BA864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83505"/>
    <w:rsid w:val="00917F59"/>
    <w:rsid w:val="009B7C7C"/>
    <w:rsid w:val="00DD5716"/>
    <w:rsid w:val="48183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A3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1975</Characters>
  <Application>Microsoft Macintosh Word</Application>
  <DocSecurity>0</DocSecurity>
  <Lines>16</Lines>
  <Paragraphs>4</Paragraphs>
  <ScaleCrop>false</ScaleCrop>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Ramon Abola</cp:lastModifiedBy>
  <cp:revision>3</cp:revision>
  <dcterms:created xsi:type="dcterms:W3CDTF">2017-04-04T21:15:00Z</dcterms:created>
  <dcterms:modified xsi:type="dcterms:W3CDTF">2017-04-05T02:21:00Z</dcterms:modified>
</cp:coreProperties>
</file>