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pPr>
      <w:r>
        <w:rPr>
          <w:rFonts w:ascii="Calibri" w:cs="Calibri" w:eastAsia="Calibri" w:hAnsi="Calibri"/>
          <w:b/>
          <w:bCs/>
          <w:color w:val="C05A17"/>
          <w:spacing w:val="60"/>
          <w:sz w:val="20"/>
          <w:szCs w:val="20"/>
        </w:rPr>
        <w:t xml:space="preserve">ANÁLISIS DE CATÁLOGO</w:t>
      </w:r>
    </w:p>
    <w:p>
      <w:pPr>
        <w:spacing w:after="120"/>
      </w:pPr>
      <w:r>
        <w:rPr>
          <w:rFonts w:ascii="Calibri" w:cs="Calibri" w:eastAsia="Calibri" w:hAnsi="Calibri"/>
          <w:b/>
          <w:bCs/>
          <w:color w:val="1F2933"/>
          <w:sz w:val="64"/>
          <w:szCs w:val="64"/>
        </w:rPr>
        <w:t xml:space="preserve">Canodiy.es</w:t>
      </w:r>
    </w:p>
    <w:p>
      <w:pPr>
        <w:pBdr>
          <w:bottom w:val="single" w:color="C05A17" w:sz="12" w:space="8"/>
        </w:pBdr>
        <w:spacing w:after="300"/>
      </w:pPr>
      <w:r>
        <w:rPr>
          <w:rFonts w:ascii="Calibri" w:cs="Calibri" w:eastAsia="Calibri" w:hAnsi="Calibri"/>
          <w:color w:val="6B7280"/>
          <w:sz w:val="28"/>
          <w:szCs w:val="28"/>
        </w:rPr>
        <w:t xml:space="preserve">Tipos de producto agrupados por combinaciones afines</w:t>
      </w:r>
    </w:p>
    <w:p>
      <w:pPr>
        <w:spacing w:after="200"/>
      </w:pPr>
    </w:p>
    <w:tbl>
      <w:tblPr>
        <w:tblW w:type="dxa" w:w="9360"/>
        <w:tblBorders>
          <w:top w:val="single" w:color="D9D2C7" w:sz="2"/>
          <w:left w:val="single" w:color="D9D2C7" w:sz="2"/>
          <w:bottom w:val="single" w:color="D9D2C7" w:sz="2"/>
          <w:right w:val="single" w:color="D9D2C7" w:sz="2"/>
          <w:insideH w:val="single" w:color="D9D2C7" w:sz="2"/>
          <w:insideV w:val="single" w:color="D9D2C7" w:sz="2"/>
        </w:tblBorders>
      </w:tblPr>
      <w:tblGrid>
        <w:gridCol w:w="2400"/>
        <w:gridCol w:w="6960"/>
      </w:tblGrid>
      <w:tr>
        <w:trPr>
          <w:tblHeader/>
        </w:trPr>
        <w:tc>
          <w:tcPr>
            <w:tcW w:type="dxa" w:w="2400"/>
            <w:shd w:fill="C05A17" w:color="auto" w:val="clear"/>
            <w:tcMar>
              <w:top w:type="dxa" w:w="60"/>
              <w:left w:type="dxa" w:w="110"/>
              <w:bottom w:type="dxa" w:w="60"/>
              <w:right w:type="dxa" w:w="110"/>
            </w:tcMar>
            <w:vAlign w:val="center"/>
          </w:tcPr>
          <w:p>
            <w:pPr>
              <w:spacing w:after="0" w:line="240"/>
              <w:jc w:val="left"/>
            </w:pPr>
            <w:r>
              <w:rPr>
                <w:rFonts w:ascii="Calibri" w:cs="Calibri" w:eastAsia="Calibri" w:hAnsi="Calibri"/>
                <w:b/>
                <w:bCs/>
                <w:color w:val="FFFFFF"/>
                <w:sz w:val="18"/>
                <w:szCs w:val="18"/>
              </w:rPr>
              <w:t xml:space="preserve">Concepto</w:t>
            </w:r>
          </w:p>
        </w:tc>
        <w:tc>
          <w:tcPr>
            <w:tcW w:type="dxa" w:w="6960"/>
            <w:shd w:fill="C05A17" w:color="auto" w:val="clear"/>
            <w:tcMar>
              <w:top w:type="dxa" w:w="60"/>
              <w:left w:type="dxa" w:w="110"/>
              <w:bottom w:type="dxa" w:w="60"/>
              <w:right w:type="dxa" w:w="110"/>
            </w:tcMar>
            <w:vAlign w:val="center"/>
          </w:tcPr>
          <w:p>
            <w:pPr>
              <w:spacing w:after="0" w:line="240"/>
              <w:jc w:val="left"/>
            </w:pPr>
            <w:r>
              <w:rPr>
                <w:rFonts w:ascii="Calibri" w:cs="Calibri" w:eastAsia="Calibri" w:hAnsi="Calibri"/>
                <w:b/>
                <w:bCs/>
                <w:color w:val="FFFFFF"/>
                <w:sz w:val="18"/>
                <w:szCs w:val="18"/>
              </w:rPr>
              <w:t xml:space="preserve">Detalle</w:t>
            </w:r>
          </w:p>
        </w:tc>
      </w:tr>
      <w:tr>
        <w:trPr>
          <w:tblHeader w:val="false"/>
        </w:trPr>
        <w:tc>
          <w:tcPr>
            <w:tcW w:type="dxa" w:w="24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Fuente</w:t>
            </w:r>
          </w:p>
        </w:tc>
        <w:tc>
          <w:tcPr>
            <w:tcW w:type="dxa" w:w="69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https://canodiy.es/ — PrestaShop, tienda «Cano Do It Yourself»</w:t>
            </w:r>
          </w:p>
        </w:tc>
      </w:tr>
      <w:tr>
        <w:trPr>
          <w:tblHeader w:val="false"/>
        </w:trPr>
        <w:tc>
          <w:tcPr>
            <w:tcW w:type="dxa" w:w="24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Fecha de extracción</w:t>
            </w:r>
          </w:p>
        </w:tc>
        <w:tc>
          <w:tcPr>
            <w:tcW w:type="dxa" w:w="69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27 de julio de 2026</w:t>
            </w:r>
          </w:p>
        </w:tc>
      </w:tr>
      <w:tr>
        <w:trPr>
          <w:tblHeader w:val="false"/>
        </w:trPr>
        <w:tc>
          <w:tcPr>
            <w:tcW w:type="dxa" w:w="24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Cobertura</w:t>
            </w:r>
          </w:p>
        </w:tc>
        <w:tc>
          <w:tcPr>
            <w:tcW w:type="dxa" w:w="69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6.049 / 6.049 productos publicados (100 % del catálogo visible)</w:t>
            </w:r>
          </w:p>
        </w:tc>
      </w:tr>
      <w:tr>
        <w:trPr>
          <w:tblHeader w:val="false"/>
        </w:trPr>
        <w:tc>
          <w:tcPr>
            <w:tcW w:type="dxa" w:w="24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Familias identificadas</w:t>
            </w:r>
          </w:p>
        </w:tc>
        <w:tc>
          <w:tcPr>
            <w:tcW w:type="dxa" w:w="69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16 familias de producto + 6 combinaciones afines transversales</w:t>
            </w:r>
          </w:p>
        </w:tc>
      </w:tr>
      <w:tr>
        <w:trPr>
          <w:tblHeader w:val="false"/>
        </w:trPr>
        <w:tc>
          <w:tcPr>
            <w:tcW w:type="dxa" w:w="24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Datos en bruto</w:t>
            </w:r>
          </w:p>
        </w:tc>
        <w:tc>
          <w:tcPr>
            <w:tcW w:type="dxa" w:w="69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canodiy-catalogo-clasificado.xlsx — 6.049 filas × 38 columnas de propiedades y combinaciones</w:t>
            </w:r>
          </w:p>
        </w:tc>
      </w:tr>
    </w:tbl>
    <w:p>
      <w:r>
        <w:br w:type="page"/>
      </w:r>
    </w:p>
    <w:p>
      <w:pPr>
        <w:pStyle w:val="Heading1"/>
        <w:spacing w:after="160" w:before="380"/>
      </w:pPr>
      <w:r>
        <w:rPr>
          <w:rFonts w:ascii="Calibri" w:cs="Calibri" w:eastAsia="Calibri" w:hAnsi="Calibri"/>
          <w:b/>
          <w:bCs/>
          <w:color w:val="C05A17"/>
          <w:sz w:val="30"/>
          <w:szCs w:val="30"/>
        </w:rPr>
        <w:t xml:space="preserve">1. Resumen ejecutivo</w:t>
      </w:r>
    </w:p>
    <w:p>
      <w:pPr>
        <w:spacing w:after="200" w:line="276"/>
      </w:pPr>
      <w:r>
        <w:rPr>
          <w:rFonts w:ascii="Calibri" w:cs="Calibri" w:eastAsia="Calibri" w:hAnsi="Calibri"/>
          <w:b w:val="false"/>
          <w:bCs w:val="false"/>
          <w:color w:val="1F2933"/>
          <w:sz w:val="20"/>
          <w:szCs w:val="20"/>
        </w:rPr>
        <w:t xml:space="preserve">Canodiy es un distribuidor de </w:t>
      </w:r>
      <w:r>
        <w:rPr>
          <w:rFonts w:ascii="Calibri" w:cs="Calibri" w:eastAsia="Calibri" w:hAnsi="Calibri"/>
          <w:b/>
          <w:bCs/>
          <w:color w:val="1F2933"/>
          <w:sz w:val="20"/>
          <w:szCs w:val="20"/>
        </w:rPr>
        <w:t xml:space="preserve">material para marroquinería, tapicería y costura técnica</w:t>
      </w:r>
      <w:r>
        <w:rPr>
          <w:rFonts w:ascii="Calibri" w:cs="Calibri" w:eastAsia="Calibri" w:hAnsi="Calibri"/>
          <w:b w:val="false"/>
          <w:bCs w:val="false"/>
          <w:color w:val="1F2933"/>
          <w:sz w:val="20"/>
          <w:szCs w:val="20"/>
        </w:rPr>
        <w:t xml:space="preserve"> que vende tanto a profesional como a cliente DIY. El catálogo está fuertemente escorado: </w:t>
      </w:r>
      <w:r>
        <w:rPr>
          <w:rFonts w:ascii="Calibri" w:cs="Calibri" w:eastAsia="Calibri" w:hAnsi="Calibri"/>
          <w:b/>
          <w:bCs/>
          <w:color w:val="1F2933"/>
          <w:sz w:val="20"/>
          <w:szCs w:val="20"/>
        </w:rPr>
        <w:t xml:space="preserve">2 de cada 3 referencias son hilo</w:t>
      </w:r>
      <w:r>
        <w:rPr>
          <w:rFonts w:ascii="Calibri" w:cs="Calibri" w:eastAsia="Calibri" w:hAnsi="Calibri"/>
          <w:b w:val="false"/>
          <w:bCs w:val="false"/>
          <w:color w:val="1F2933"/>
          <w:sz w:val="20"/>
          <w:szCs w:val="20"/>
        </w:rPr>
        <w:t xml:space="preserve">, y la variedad no viene del tipo de producto sino de la </w:t>
      </w:r>
      <w:r>
        <w:rPr>
          <w:rFonts w:ascii="Calibri" w:cs="Calibri" w:eastAsia="Calibri" w:hAnsi="Calibri"/>
          <w:b/>
          <w:bCs/>
          <w:color w:val="1F2933"/>
          <w:sz w:val="20"/>
          <w:szCs w:val="20"/>
        </w:rPr>
        <w:t xml:space="preserve">combinación grosor × formato × color</w:t>
      </w:r>
      <w:r>
        <w:rPr>
          <w:rFonts w:ascii="Calibri" w:cs="Calibri" w:eastAsia="Calibri" w:hAnsi="Calibri"/>
          <w:b w:val="false"/>
          <w:bCs w:val="false"/>
          <w:color w:val="1F2933"/>
          <w:sz w:val="20"/>
          <w:szCs w:val="20"/>
        </w:rPr>
        <w:t xml:space="preserve">.</w:t>
      </w:r>
    </w:p>
    <w:tbl>
      <w:tblPr>
        <w:tblW w:type="dxa" w:w="9360"/>
        <w:tblBorders>
          <w:top w:val="single" w:color="D9D2C7" w:sz="2"/>
          <w:left w:val="single" w:color="D9D2C7" w:sz="2"/>
          <w:bottom w:val="single" w:color="D9D2C7" w:sz="2"/>
          <w:right w:val="single" w:color="D9D2C7" w:sz="2"/>
          <w:insideH w:val="single" w:color="D9D2C7" w:sz="2"/>
          <w:insideV w:val="single" w:color="D9D2C7" w:sz="2"/>
        </w:tblBorders>
      </w:tblPr>
      <w:tblGrid>
        <w:gridCol w:w="3000"/>
        <w:gridCol w:w="900"/>
        <w:gridCol w:w="1100"/>
        <w:gridCol w:w="1600"/>
        <w:gridCol w:w="2760"/>
      </w:tblGrid>
      <w:tr>
        <w:trPr>
          <w:tblHeader/>
        </w:trPr>
        <w:tc>
          <w:tcPr>
            <w:tcW w:type="dxa" w:w="3000"/>
            <w:shd w:fill="C05A17" w:color="auto" w:val="clear"/>
            <w:tcMar>
              <w:top w:type="dxa" w:w="60"/>
              <w:left w:type="dxa" w:w="110"/>
              <w:bottom w:type="dxa" w:w="60"/>
              <w:right w:type="dxa" w:w="110"/>
            </w:tcMar>
            <w:vAlign w:val="center"/>
          </w:tcPr>
          <w:p>
            <w:pPr>
              <w:spacing w:after="0" w:line="240"/>
              <w:jc w:val="left"/>
            </w:pPr>
            <w:r>
              <w:rPr>
                <w:rFonts w:ascii="Calibri" w:cs="Calibri" w:eastAsia="Calibri" w:hAnsi="Calibri"/>
                <w:b/>
                <w:bCs/>
                <w:color w:val="FFFFFF"/>
                <w:sz w:val="18"/>
                <w:szCs w:val="18"/>
              </w:rPr>
              <w:t xml:space="preserve">Familia afín</w:t>
            </w:r>
          </w:p>
        </w:tc>
        <w:tc>
          <w:tcPr>
            <w:tcW w:type="dxa" w:w="900"/>
            <w:shd w:fill="C05A17" w:color="auto" w:val="clear"/>
            <w:tcMar>
              <w:top w:type="dxa" w:w="60"/>
              <w:left w:type="dxa" w:w="110"/>
              <w:bottom w:type="dxa" w:w="60"/>
              <w:right w:type="dxa" w:w="110"/>
            </w:tcMar>
            <w:vAlign w:val="center"/>
          </w:tcPr>
          <w:p>
            <w:pPr>
              <w:spacing w:after="0" w:line="240"/>
              <w:jc w:val="right"/>
            </w:pPr>
            <w:r>
              <w:rPr>
                <w:rFonts w:ascii="Calibri" w:cs="Calibri" w:eastAsia="Calibri" w:hAnsi="Calibri"/>
                <w:b/>
                <w:bCs/>
                <w:color w:val="FFFFFF"/>
                <w:sz w:val="18"/>
                <w:szCs w:val="18"/>
              </w:rPr>
              <w:t xml:space="preserve">Refs.</w:t>
            </w:r>
          </w:p>
        </w:tc>
        <w:tc>
          <w:tcPr>
            <w:tcW w:type="dxa" w:w="1100"/>
            <w:shd w:fill="C05A17" w:color="auto" w:val="clear"/>
            <w:tcMar>
              <w:top w:type="dxa" w:w="60"/>
              <w:left w:type="dxa" w:w="110"/>
              <w:bottom w:type="dxa" w:w="60"/>
              <w:right w:type="dxa" w:w="110"/>
            </w:tcMar>
            <w:vAlign w:val="center"/>
          </w:tcPr>
          <w:p>
            <w:pPr>
              <w:spacing w:after="0" w:line="240"/>
              <w:jc w:val="right"/>
            </w:pPr>
            <w:r>
              <w:rPr>
                <w:rFonts w:ascii="Calibri" w:cs="Calibri" w:eastAsia="Calibri" w:hAnsi="Calibri"/>
                <w:b/>
                <w:bCs/>
                <w:color w:val="FFFFFF"/>
                <w:sz w:val="18"/>
                <w:szCs w:val="18"/>
              </w:rPr>
              <w:t xml:space="preserve">% catál.</w:t>
            </w:r>
          </w:p>
        </w:tc>
        <w:tc>
          <w:tcPr>
            <w:tcW w:type="dxa" w:w="1600"/>
            <w:shd w:fill="C05A17" w:color="auto" w:val="clear"/>
            <w:tcMar>
              <w:top w:type="dxa" w:w="60"/>
              <w:left w:type="dxa" w:w="110"/>
              <w:bottom w:type="dxa" w:w="60"/>
              <w:right w:type="dxa" w:w="110"/>
            </w:tcMar>
            <w:vAlign w:val="center"/>
          </w:tcPr>
          <w:p>
            <w:pPr>
              <w:spacing w:after="0" w:line="240"/>
              <w:jc w:val="right"/>
            </w:pPr>
            <w:r>
              <w:rPr>
                <w:rFonts w:ascii="Calibri" w:cs="Calibri" w:eastAsia="Calibri" w:hAnsi="Calibri"/>
                <w:b/>
                <w:bCs/>
                <w:color w:val="FFFFFF"/>
                <w:sz w:val="18"/>
                <w:szCs w:val="18"/>
              </w:rPr>
              <w:t xml:space="preserve">Precio mediano</w:t>
            </w:r>
          </w:p>
        </w:tc>
        <w:tc>
          <w:tcPr>
            <w:tcW w:type="dxa" w:w="2760"/>
            <w:shd w:fill="C05A17" w:color="auto" w:val="clear"/>
            <w:tcMar>
              <w:top w:type="dxa" w:w="60"/>
              <w:left w:type="dxa" w:w="110"/>
              <w:bottom w:type="dxa" w:w="60"/>
              <w:right w:type="dxa" w:w="110"/>
            </w:tcMar>
            <w:vAlign w:val="center"/>
          </w:tcPr>
          <w:p>
            <w:pPr>
              <w:spacing w:after="0" w:line="240"/>
              <w:jc w:val="left"/>
            </w:pPr>
            <w:r>
              <w:rPr>
                <w:rFonts w:ascii="Calibri" w:cs="Calibri" w:eastAsia="Calibri" w:hAnsi="Calibri"/>
                <w:b/>
                <w:bCs/>
                <w:color w:val="FFFFFF"/>
                <w:sz w:val="18"/>
                <w:szCs w:val="18"/>
              </w:rPr>
              <w:t xml:space="preserve">Rango de precio</w:t>
            </w:r>
          </w:p>
        </w:tc>
      </w:tr>
      <w:tr>
        <w:trPr>
          <w:tblHeader w:val="false"/>
        </w:trPr>
        <w:tc>
          <w:tcPr>
            <w:tcW w:type="dxa" w:w="30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Hilos</w:t>
            </w:r>
          </w:p>
        </w:tc>
        <w:tc>
          <w:tcPr>
            <w:tcW w:type="dxa" w:w="9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3.866</w:t>
            </w:r>
          </w:p>
        </w:tc>
        <w:tc>
          <w:tcPr>
            <w:tcW w:type="dxa" w:w="11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63,9 %</w:t>
            </w:r>
          </w:p>
        </w:tc>
        <w:tc>
          <w:tcPr>
            <w:tcW w:type="dxa" w:w="16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5,48 €</w:t>
            </w:r>
          </w:p>
        </w:tc>
        <w:tc>
          <w:tcPr>
            <w:tcW w:type="dxa" w:w="27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1,74 – 230,00 €</w:t>
            </w:r>
          </w:p>
        </w:tc>
      </w:tr>
      <w:tr>
        <w:trPr>
          <w:tblHeader w:val="false"/>
        </w:trPr>
        <w:tc>
          <w:tcPr>
            <w:tcW w:type="dxa" w:w="30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Cremalleras y cursores</w:t>
            </w:r>
          </w:p>
        </w:tc>
        <w:tc>
          <w:tcPr>
            <w:tcW w:type="dxa" w:w="9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525</w:t>
            </w:r>
          </w:p>
        </w:tc>
        <w:tc>
          <w:tcPr>
            <w:tcW w:type="dxa" w:w="11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8,7 %</w:t>
            </w:r>
          </w:p>
        </w:tc>
        <w:tc>
          <w:tcPr>
            <w:tcW w:type="dxa" w:w="16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0,68 €</w:t>
            </w:r>
          </w:p>
        </w:tc>
        <w:tc>
          <w:tcPr>
            <w:tcW w:type="dxa" w:w="27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0,08 – 15,46 €</w:t>
            </w:r>
          </w:p>
        </w:tc>
      </w:tr>
      <w:tr>
        <w:trPr>
          <w:tblHeader w:val="false"/>
        </w:trPr>
        <w:tc>
          <w:tcPr>
            <w:tcW w:type="dxa" w:w="30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Pasamanería y cintas</w:t>
            </w:r>
          </w:p>
        </w:tc>
        <w:tc>
          <w:tcPr>
            <w:tcW w:type="dxa" w:w="9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387</w:t>
            </w:r>
          </w:p>
        </w:tc>
        <w:tc>
          <w:tcPr>
            <w:tcW w:type="dxa" w:w="11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6,4 %</w:t>
            </w:r>
          </w:p>
        </w:tc>
        <w:tc>
          <w:tcPr>
            <w:tcW w:type="dxa" w:w="16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0,45 €</w:t>
            </w:r>
          </w:p>
        </w:tc>
        <w:tc>
          <w:tcPr>
            <w:tcW w:type="dxa" w:w="27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0,17 – 6,03 €</w:t>
            </w:r>
          </w:p>
        </w:tc>
      </w:tr>
      <w:tr>
        <w:trPr>
          <w:tblHeader w:val="false"/>
        </w:trPr>
        <w:tc>
          <w:tcPr>
            <w:tcW w:type="dxa" w:w="30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Herramientas</w:t>
            </w:r>
          </w:p>
        </w:tc>
        <w:tc>
          <w:tcPr>
            <w:tcW w:type="dxa" w:w="9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345</w:t>
            </w:r>
          </w:p>
        </w:tc>
        <w:tc>
          <w:tcPr>
            <w:tcW w:type="dxa" w:w="11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5,7 %</w:t>
            </w:r>
          </w:p>
        </w:tc>
        <w:tc>
          <w:tcPr>
            <w:tcW w:type="dxa" w:w="16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4,17 €</w:t>
            </w:r>
          </w:p>
        </w:tc>
        <w:tc>
          <w:tcPr>
            <w:tcW w:type="dxa" w:w="27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0,36 – 547,79 €</w:t>
            </w:r>
          </w:p>
        </w:tc>
      </w:tr>
      <w:tr>
        <w:trPr>
          <w:tblHeader w:val="false"/>
        </w:trPr>
        <w:tc>
          <w:tcPr>
            <w:tcW w:type="dxa" w:w="30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Tintes y químicos</w:t>
            </w:r>
          </w:p>
        </w:tc>
        <w:tc>
          <w:tcPr>
            <w:tcW w:type="dxa" w:w="9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256</w:t>
            </w:r>
          </w:p>
        </w:tc>
        <w:tc>
          <w:tcPr>
            <w:tcW w:type="dxa" w:w="11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4,2 %</w:t>
            </w:r>
          </w:p>
        </w:tc>
        <w:tc>
          <w:tcPr>
            <w:tcW w:type="dxa" w:w="16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5,22 €</w:t>
            </w:r>
          </w:p>
        </w:tc>
        <w:tc>
          <w:tcPr>
            <w:tcW w:type="dxa" w:w="27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2,63 – 671,21 €</w:t>
            </w:r>
          </w:p>
        </w:tc>
      </w:tr>
      <w:tr>
        <w:trPr>
          <w:tblHeader w:val="false"/>
        </w:trPr>
        <w:tc>
          <w:tcPr>
            <w:tcW w:type="dxa" w:w="30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Agujas y leznas</w:t>
            </w:r>
          </w:p>
        </w:tc>
        <w:tc>
          <w:tcPr>
            <w:tcW w:type="dxa" w:w="9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142</w:t>
            </w:r>
          </w:p>
        </w:tc>
        <w:tc>
          <w:tcPr>
            <w:tcW w:type="dxa" w:w="11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2,3 %</w:t>
            </w:r>
          </w:p>
        </w:tc>
        <w:tc>
          <w:tcPr>
            <w:tcW w:type="dxa" w:w="16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4,94 €</w:t>
            </w:r>
          </w:p>
        </w:tc>
        <w:tc>
          <w:tcPr>
            <w:tcW w:type="dxa" w:w="27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0,27 – 21,38 €</w:t>
            </w:r>
          </w:p>
        </w:tc>
      </w:tr>
      <w:tr>
        <w:trPr>
          <w:tblHeader w:val="false"/>
        </w:trPr>
        <w:tc>
          <w:tcPr>
            <w:tcW w:type="dxa" w:w="30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Embalaje y almacén</w:t>
            </w:r>
          </w:p>
        </w:tc>
        <w:tc>
          <w:tcPr>
            <w:tcW w:type="dxa" w:w="9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117</w:t>
            </w:r>
          </w:p>
        </w:tc>
        <w:tc>
          <w:tcPr>
            <w:tcW w:type="dxa" w:w="11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1,9 %</w:t>
            </w:r>
          </w:p>
        </w:tc>
        <w:tc>
          <w:tcPr>
            <w:tcW w:type="dxa" w:w="16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9,94 €</w:t>
            </w:r>
          </w:p>
        </w:tc>
        <w:tc>
          <w:tcPr>
            <w:tcW w:type="dxa" w:w="27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0,44 – 85,86 €</w:t>
            </w:r>
          </w:p>
        </w:tc>
      </w:tr>
      <w:tr>
        <w:trPr>
          <w:tblHeader w:val="false"/>
        </w:trPr>
        <w:tc>
          <w:tcPr>
            <w:tcW w:type="dxa" w:w="30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Cordones</w:t>
            </w:r>
          </w:p>
        </w:tc>
        <w:tc>
          <w:tcPr>
            <w:tcW w:type="dxa" w:w="9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104</w:t>
            </w:r>
          </w:p>
        </w:tc>
        <w:tc>
          <w:tcPr>
            <w:tcW w:type="dxa" w:w="11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1,7 %</w:t>
            </w:r>
          </w:p>
        </w:tc>
        <w:tc>
          <w:tcPr>
            <w:tcW w:type="dxa" w:w="16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0,42 €</w:t>
            </w:r>
          </w:p>
        </w:tc>
        <w:tc>
          <w:tcPr>
            <w:tcW w:type="dxa" w:w="27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0,29 – 416,24 €</w:t>
            </w:r>
          </w:p>
        </w:tc>
      </w:tr>
      <w:tr>
        <w:trPr>
          <w:tblHeader w:val="false"/>
        </w:trPr>
        <w:tc>
          <w:tcPr>
            <w:tcW w:type="dxa" w:w="30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Outlet / liquidación</w:t>
            </w:r>
          </w:p>
        </w:tc>
        <w:tc>
          <w:tcPr>
            <w:tcW w:type="dxa" w:w="9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102</w:t>
            </w:r>
          </w:p>
        </w:tc>
        <w:tc>
          <w:tcPr>
            <w:tcW w:type="dxa" w:w="11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1,7 %</w:t>
            </w:r>
          </w:p>
        </w:tc>
        <w:tc>
          <w:tcPr>
            <w:tcW w:type="dxa" w:w="16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1,29 €</w:t>
            </w:r>
          </w:p>
        </w:tc>
        <w:tc>
          <w:tcPr>
            <w:tcW w:type="dxa" w:w="27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0,22 – 299,98 €</w:t>
            </w:r>
          </w:p>
        </w:tc>
      </w:tr>
      <w:tr>
        <w:trPr>
          <w:tblHeader w:val="false"/>
        </w:trPr>
        <w:tc>
          <w:tcPr>
            <w:tcW w:type="dxa" w:w="30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Fornituras</w:t>
            </w:r>
          </w:p>
        </w:tc>
        <w:tc>
          <w:tcPr>
            <w:tcW w:type="dxa" w:w="9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87</w:t>
            </w:r>
          </w:p>
        </w:tc>
        <w:tc>
          <w:tcPr>
            <w:tcW w:type="dxa" w:w="11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1,4 %</w:t>
            </w:r>
          </w:p>
        </w:tc>
        <w:tc>
          <w:tcPr>
            <w:tcW w:type="dxa" w:w="16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3,74 €</w:t>
            </w:r>
          </w:p>
        </w:tc>
        <w:tc>
          <w:tcPr>
            <w:tcW w:type="dxa" w:w="27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0,17 – 121,97 €</w:t>
            </w:r>
          </w:p>
        </w:tc>
      </w:tr>
      <w:tr>
        <w:trPr>
          <w:tblHeader w:val="false"/>
        </w:trPr>
        <w:tc>
          <w:tcPr>
            <w:tcW w:type="dxa" w:w="30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Soportes y refuerzos</w:t>
            </w:r>
          </w:p>
        </w:tc>
        <w:tc>
          <w:tcPr>
            <w:tcW w:type="dxa" w:w="9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45</w:t>
            </w:r>
          </w:p>
        </w:tc>
        <w:tc>
          <w:tcPr>
            <w:tcW w:type="dxa" w:w="11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0,7 %</w:t>
            </w:r>
          </w:p>
        </w:tc>
        <w:tc>
          <w:tcPr>
            <w:tcW w:type="dxa" w:w="16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2,86 €</w:t>
            </w:r>
          </w:p>
        </w:tc>
        <w:tc>
          <w:tcPr>
            <w:tcW w:type="dxa" w:w="27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0,72 – 7,65 €</w:t>
            </w:r>
          </w:p>
        </w:tc>
      </w:tr>
      <w:tr>
        <w:trPr>
          <w:tblHeader w:val="false"/>
        </w:trPr>
        <w:tc>
          <w:tcPr>
            <w:tcW w:type="dxa" w:w="30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Clavos, grapas y tachuelas</w:t>
            </w:r>
          </w:p>
        </w:tc>
        <w:tc>
          <w:tcPr>
            <w:tcW w:type="dxa" w:w="9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31</w:t>
            </w:r>
          </w:p>
        </w:tc>
        <w:tc>
          <w:tcPr>
            <w:tcW w:type="dxa" w:w="11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0,5 %</w:t>
            </w:r>
          </w:p>
        </w:tc>
        <w:tc>
          <w:tcPr>
            <w:tcW w:type="dxa" w:w="16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16,34 €</w:t>
            </w:r>
          </w:p>
        </w:tc>
        <w:tc>
          <w:tcPr>
            <w:tcW w:type="dxa" w:w="27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3,15 – 20,00 €</w:t>
            </w:r>
          </w:p>
        </w:tc>
      </w:tr>
      <w:tr>
        <w:trPr>
          <w:tblHeader w:val="false"/>
        </w:trPr>
        <w:tc>
          <w:tcPr>
            <w:tcW w:type="dxa" w:w="30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Labores y costura</w:t>
            </w:r>
          </w:p>
        </w:tc>
        <w:tc>
          <w:tcPr>
            <w:tcW w:type="dxa" w:w="9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13</w:t>
            </w:r>
          </w:p>
        </w:tc>
        <w:tc>
          <w:tcPr>
            <w:tcW w:type="dxa" w:w="11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0,2 %</w:t>
            </w:r>
          </w:p>
        </w:tc>
        <w:tc>
          <w:tcPr>
            <w:tcW w:type="dxa" w:w="16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5,40 €</w:t>
            </w:r>
          </w:p>
        </w:tc>
        <w:tc>
          <w:tcPr>
            <w:tcW w:type="dxa" w:w="27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0,19 – 19,11 €</w:t>
            </w:r>
          </w:p>
        </w:tc>
      </w:tr>
      <w:tr>
        <w:trPr>
          <w:tblHeader w:val="false"/>
        </w:trPr>
        <w:tc>
          <w:tcPr>
            <w:tcW w:type="dxa" w:w="30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EPI / protección</w:t>
            </w:r>
          </w:p>
        </w:tc>
        <w:tc>
          <w:tcPr>
            <w:tcW w:type="dxa" w:w="9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13</w:t>
            </w:r>
          </w:p>
        </w:tc>
        <w:tc>
          <w:tcPr>
            <w:tcW w:type="dxa" w:w="11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0,2 %</w:t>
            </w:r>
          </w:p>
        </w:tc>
        <w:tc>
          <w:tcPr>
            <w:tcW w:type="dxa" w:w="16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0,80 €</w:t>
            </w:r>
          </w:p>
        </w:tc>
        <w:tc>
          <w:tcPr>
            <w:tcW w:type="dxa" w:w="27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0,02 – 77,83 €</w:t>
            </w:r>
          </w:p>
        </w:tc>
      </w:tr>
      <w:tr>
        <w:trPr>
          <w:tblHeader w:val="false"/>
        </w:trPr>
        <w:tc>
          <w:tcPr>
            <w:tcW w:type="dxa" w:w="30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Elásticos</w:t>
            </w:r>
          </w:p>
        </w:tc>
        <w:tc>
          <w:tcPr>
            <w:tcW w:type="dxa" w:w="9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11</w:t>
            </w:r>
          </w:p>
        </w:tc>
        <w:tc>
          <w:tcPr>
            <w:tcW w:type="dxa" w:w="11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0,2 %</w:t>
            </w:r>
          </w:p>
        </w:tc>
        <w:tc>
          <w:tcPr>
            <w:tcW w:type="dxa" w:w="16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0,41 €</w:t>
            </w:r>
          </w:p>
        </w:tc>
        <w:tc>
          <w:tcPr>
            <w:tcW w:type="dxa" w:w="27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0,15 – 6,85 €</w:t>
            </w:r>
          </w:p>
        </w:tc>
      </w:tr>
      <w:tr>
        <w:trPr>
          <w:tblHeader w:val="false"/>
        </w:trPr>
        <w:tc>
          <w:tcPr>
            <w:tcW w:type="dxa" w:w="30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Adhesivos</w:t>
            </w:r>
          </w:p>
        </w:tc>
        <w:tc>
          <w:tcPr>
            <w:tcW w:type="dxa" w:w="9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5</w:t>
            </w:r>
          </w:p>
        </w:tc>
        <w:tc>
          <w:tcPr>
            <w:tcW w:type="dxa" w:w="11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0,1 %</w:t>
            </w:r>
          </w:p>
        </w:tc>
        <w:tc>
          <w:tcPr>
            <w:tcW w:type="dxa" w:w="16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15,25 €</w:t>
            </w:r>
          </w:p>
        </w:tc>
        <w:tc>
          <w:tcPr>
            <w:tcW w:type="dxa" w:w="27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5,06 – 18,14 €</w:t>
            </w:r>
          </w:p>
        </w:tc>
      </w:tr>
    </w:tbl>
    <w:p>
      <w:pPr>
        <w:spacing w:after="160"/>
      </w:pPr>
    </w:p>
    <w:p>
      <w:pPr>
        <w:spacing w:after="120" w:line="276"/>
      </w:pPr>
      <w:r>
        <w:rPr>
          <w:rFonts w:ascii="Calibri" w:cs="Calibri" w:eastAsia="Calibri" w:hAnsi="Calibri"/>
          <w:b w:val="false"/>
          <w:bCs w:val="false"/>
          <w:color w:val="1F2933"/>
          <w:sz w:val="20"/>
          <w:szCs w:val="20"/>
        </w:rPr>
        <w:t xml:space="preserve">Distribución de precios global: </w:t>
      </w:r>
      <w:r>
        <w:rPr>
          <w:rFonts w:ascii="Calibri" w:cs="Calibri" w:eastAsia="Calibri" w:hAnsi="Calibri"/>
          <w:b/>
          <w:bCs/>
          <w:color w:val="1F2933"/>
          <w:sz w:val="20"/>
          <w:szCs w:val="20"/>
        </w:rPr>
        <w:t xml:space="preserve">mín. 0,02 € · P25 2,29 € · mediana 2,86 € · P75 6,63 € · P95 19,27 € · máx. 671,21 €</w:t>
      </w:r>
      <w:r>
        <w:rPr>
          <w:rFonts w:ascii="Calibri" w:cs="Calibri" w:eastAsia="Calibri" w:hAnsi="Calibri"/>
          <w:b w:val="false"/>
          <w:bCs w:val="false"/>
          <w:color w:val="1F2933"/>
          <w:sz w:val="20"/>
          <w:szCs w:val="20"/>
        </w:rPr>
        <w:t xml:space="preserve">. Es un catálogo de ticket bajo y alta rotación, con una cola larga de maquinaria y químicos profesionales.</w:t>
      </w:r>
    </w:p>
    <w:p>
      <w:pPr>
        <w:pStyle w:val="Heading1"/>
        <w:spacing w:after="160" w:before="380"/>
      </w:pPr>
      <w:r>
        <w:rPr>
          <w:rFonts w:ascii="Calibri" w:cs="Calibri" w:eastAsia="Calibri" w:hAnsi="Calibri"/>
          <w:b/>
          <w:bCs/>
          <w:color w:val="C05A17"/>
          <w:sz w:val="30"/>
          <w:szCs w:val="30"/>
        </w:rPr>
        <w:t xml:space="preserve">2. Los tres ejes que generan el catálogo</w:t>
      </w:r>
    </w:p>
    <w:p>
      <w:pPr>
        <w:spacing w:after="200" w:line="276"/>
      </w:pPr>
      <w:r>
        <w:rPr>
          <w:rFonts w:ascii="Calibri" w:cs="Calibri" w:eastAsia="Calibri" w:hAnsi="Calibri"/>
          <w:color w:val="1F2933"/>
          <w:sz w:val="20"/>
          <w:szCs w:val="20"/>
        </w:rPr>
        <w:t xml:space="preserve">Casi toda la profundidad del surtido se explica por tres dimensiones que se combinan entre sí. Entender esto es lo que permite agrupar «tipos de producto» en vez de listar 6.049 SKUs.</w:t>
      </w:r>
    </w:p>
    <w:tbl>
      <w:tblPr>
        <w:tblW w:type="dxa" w:w="9360"/>
        <w:tblBorders>
          <w:top w:val="single" w:color="D9D2C7" w:sz="2"/>
          <w:left w:val="single" w:color="D9D2C7" w:sz="2"/>
          <w:bottom w:val="single" w:color="D9D2C7" w:sz="2"/>
          <w:right w:val="single" w:color="D9D2C7" w:sz="2"/>
          <w:insideH w:val="single" w:color="D9D2C7" w:sz="2"/>
          <w:insideV w:val="single" w:color="D9D2C7" w:sz="2"/>
        </w:tblBorders>
      </w:tblPr>
      <w:tblGrid>
        <w:gridCol w:w="1700"/>
        <w:gridCol w:w="3200"/>
        <w:gridCol w:w="4460"/>
      </w:tblGrid>
      <w:tr>
        <w:trPr>
          <w:tblHeader/>
        </w:trPr>
        <w:tc>
          <w:tcPr>
            <w:tcW w:type="dxa" w:w="1700"/>
            <w:shd w:fill="C05A17" w:color="auto" w:val="clear"/>
            <w:tcMar>
              <w:top w:type="dxa" w:w="60"/>
              <w:left w:type="dxa" w:w="110"/>
              <w:bottom w:type="dxa" w:w="60"/>
              <w:right w:type="dxa" w:w="110"/>
            </w:tcMar>
            <w:vAlign w:val="center"/>
          </w:tcPr>
          <w:p>
            <w:pPr>
              <w:spacing w:after="0" w:line="240"/>
              <w:jc w:val="left"/>
            </w:pPr>
            <w:r>
              <w:rPr>
                <w:rFonts w:ascii="Calibri" w:cs="Calibri" w:eastAsia="Calibri" w:hAnsi="Calibri"/>
                <w:b/>
                <w:bCs/>
                <w:color w:val="FFFFFF"/>
                <w:sz w:val="18"/>
                <w:szCs w:val="18"/>
              </w:rPr>
              <w:t xml:space="preserve">Eje</w:t>
            </w:r>
          </w:p>
        </w:tc>
        <w:tc>
          <w:tcPr>
            <w:tcW w:type="dxa" w:w="3200"/>
            <w:shd w:fill="C05A17" w:color="auto" w:val="clear"/>
            <w:tcMar>
              <w:top w:type="dxa" w:w="60"/>
              <w:left w:type="dxa" w:w="110"/>
              <w:bottom w:type="dxa" w:w="60"/>
              <w:right w:type="dxa" w:w="110"/>
            </w:tcMar>
            <w:vAlign w:val="center"/>
          </w:tcPr>
          <w:p>
            <w:pPr>
              <w:spacing w:after="0" w:line="240"/>
              <w:jc w:val="left"/>
            </w:pPr>
            <w:r>
              <w:rPr>
                <w:rFonts w:ascii="Calibri" w:cs="Calibri" w:eastAsia="Calibri" w:hAnsi="Calibri"/>
                <w:b/>
                <w:bCs/>
                <w:color w:val="FFFFFF"/>
                <w:sz w:val="18"/>
                <w:szCs w:val="18"/>
              </w:rPr>
              <w:t xml:space="preserve">Se aplica a</w:t>
            </w:r>
          </w:p>
        </w:tc>
        <w:tc>
          <w:tcPr>
            <w:tcW w:type="dxa" w:w="4460"/>
            <w:shd w:fill="C05A17" w:color="auto" w:val="clear"/>
            <w:tcMar>
              <w:top w:type="dxa" w:w="60"/>
              <w:left w:type="dxa" w:w="110"/>
              <w:bottom w:type="dxa" w:w="60"/>
              <w:right w:type="dxa" w:w="110"/>
            </w:tcMar>
            <w:vAlign w:val="center"/>
          </w:tcPr>
          <w:p>
            <w:pPr>
              <w:spacing w:after="0" w:line="240"/>
              <w:jc w:val="left"/>
            </w:pPr>
            <w:r>
              <w:rPr>
                <w:rFonts w:ascii="Calibri" w:cs="Calibri" w:eastAsia="Calibri" w:hAnsi="Calibri"/>
                <w:b/>
                <w:bCs/>
                <w:color w:val="FFFFFF"/>
                <w:sz w:val="18"/>
                <w:szCs w:val="18"/>
              </w:rPr>
              <w:t xml:space="preserve">Valores observados</w:t>
            </w:r>
          </w:p>
        </w:tc>
      </w:tr>
      <w:tr>
        <w:trPr>
          <w:tblHeader w:val="false"/>
        </w:trPr>
        <w:tc>
          <w:tcPr>
            <w:tcW w:type="dxa" w:w="17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Grosor / calibre</w:t>
            </w:r>
          </w:p>
        </w:tc>
        <w:tc>
          <w:tcPr>
            <w:tcW w:type="dxa" w:w="32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Hilos, cremalleras, cordones, agujas</w:t>
            </w:r>
          </w:p>
        </w:tc>
        <w:tc>
          <w:tcPr>
            <w:tcW w:type="dxa" w:w="44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Hilo: 10 · 11 · 15 · 20 · 30 · 40 · 60 · 70 · 80 · 120 — Cremallera: maya 3 · 5 · 8</w:t>
            </w:r>
          </w:p>
        </w:tc>
      </w:tr>
      <w:tr>
        <w:trPr>
          <w:tblHeader w:val="false"/>
        </w:trPr>
        <w:tc>
          <w:tcPr>
            <w:tcW w:type="dxa" w:w="17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Formato / longitud</w:t>
            </w:r>
          </w:p>
        </w:tc>
        <w:tc>
          <w:tcPr>
            <w:tcW w:type="dxa" w:w="32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Hilos, cintas, cordones</w:t>
            </w:r>
          </w:p>
        </w:tc>
        <w:tc>
          <w:tcPr>
            <w:tcW w:type="dxa" w:w="44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Bobina (2.335 refs) vs. cono (1.518 refs); de 200 a 5.000 m</w:t>
            </w:r>
          </w:p>
        </w:tc>
      </w:tr>
      <w:tr>
        <w:trPr>
          <w:tblHeader w:val="false"/>
        </w:trPr>
        <w:tc>
          <w:tcPr>
            <w:tcW w:type="dxa" w:w="17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Color</w:t>
            </w:r>
          </w:p>
        </w:tc>
        <w:tc>
          <w:tcPr>
            <w:tcW w:type="dxa" w:w="32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Hilos, cremalleras, cintas, cordones, tintes</w:t>
            </w:r>
          </w:p>
        </w:tc>
        <w:tc>
          <w:tcPr>
            <w:tcW w:type="dxa" w:w="44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811 códigos de color distintos en hilos (972 en todo el catálogo), rango C/0000 … C/9978</w:t>
            </w:r>
          </w:p>
        </w:tc>
      </w:tr>
    </w:tbl>
    <w:p>
      <w:pPr>
        <w:pBdr>
          <w:left w:val="single" w:color="C05A17" w:sz="18" w:space="12"/>
        </w:pBdr>
        <w:spacing w:after="180" w:before="140" w:line="276"/>
        <w:ind w:left="220"/>
      </w:pPr>
      <w:r>
        <w:rPr>
          <w:rFonts w:ascii="Calibri" w:cs="Calibri" w:eastAsia="Calibri" w:hAnsi="Calibri"/>
          <w:i/>
          <w:iCs/>
          <w:color w:val="1F2933"/>
          <w:sz w:val="20"/>
          <w:szCs w:val="20"/>
        </w:rPr>
        <w:t xml:space="preserve">Un mismo «producto» —por ejemplo, Hilo Gütermann Mara 70— genera unas 450 referencias sólo cruzando 2 formatos × ~200 colores. Es un catálogo de matriz, no de surtido.</w:t>
      </w:r>
    </w:p>
    <w:p>
      <w:r>
        <w:br w:type="page"/>
      </w:r>
    </w:p>
    <w:p>
      <w:pPr>
        <w:pStyle w:val="Heading1"/>
        <w:spacing w:after="160" w:before="380"/>
      </w:pPr>
      <w:r>
        <w:rPr>
          <w:rFonts w:ascii="Calibri" w:cs="Calibri" w:eastAsia="Calibri" w:hAnsi="Calibri"/>
          <w:b/>
          <w:bCs/>
          <w:color w:val="C05A17"/>
          <w:sz w:val="30"/>
          <w:szCs w:val="30"/>
        </w:rPr>
        <w:t xml:space="preserve">3. Agrupaciones por afinidad</w:t>
      </w:r>
    </w:p>
    <w:p>
      <w:pPr>
        <w:pStyle w:val="Heading2"/>
        <w:spacing w:after="120" w:before="280"/>
      </w:pPr>
      <w:r>
        <w:rPr>
          <w:rFonts w:ascii="Calibri" w:cs="Calibri" w:eastAsia="Calibri" w:hAnsi="Calibri"/>
          <w:b/>
          <w:bCs/>
          <w:color w:val="1F2933"/>
          <w:sz w:val="24"/>
          <w:szCs w:val="24"/>
        </w:rPr>
        <w:t xml:space="preserve">3.1 · Hilos — 3.866 refs (63,9 %)</w:t>
      </w:r>
    </w:p>
    <w:p>
      <w:pPr>
        <w:spacing w:after="180" w:line="276"/>
      </w:pPr>
      <w:r>
        <w:rPr>
          <w:rFonts w:ascii="Calibri" w:cs="Calibri" w:eastAsia="Calibri" w:hAnsi="Calibri"/>
          <w:color w:val="1F2933"/>
          <w:sz w:val="20"/>
          <w:szCs w:val="20"/>
        </w:rPr>
        <w:t xml:space="preserve">El núcleo del negocio. Tres marcas/gamas cubren el 92 % de la familia. Todas comparten la misma lógica grosor → formato → color, así que son intercambiables en catálogo y sustitutivas en venta.</w:t>
      </w:r>
    </w:p>
    <w:p>
      <w:pPr>
        <w:pStyle w:val="Heading3"/>
        <w:spacing w:after="100" w:before="220"/>
      </w:pPr>
      <w:r>
        <w:rPr>
          <w:rFonts w:ascii="Calibri" w:cs="Calibri" w:eastAsia="Calibri" w:hAnsi="Calibri"/>
          <w:b/>
          <w:bCs/>
          <w:color w:val="C05A17"/>
          <w:sz w:val="21"/>
          <w:szCs w:val="21"/>
        </w:rPr>
        <w:t xml:space="preserve">a) Gütermann MARA — poliéster para costura general y tapicería (1.041 refs)</w:t>
      </w:r>
    </w:p>
    <w:tbl>
      <w:tblPr>
        <w:tblW w:type="dxa" w:w="9360"/>
        <w:tblBorders>
          <w:top w:val="single" w:color="D9D2C7" w:sz="2"/>
          <w:left w:val="single" w:color="D9D2C7" w:sz="2"/>
          <w:bottom w:val="single" w:color="D9D2C7" w:sz="2"/>
          <w:right w:val="single" w:color="D9D2C7" w:sz="2"/>
          <w:insideH w:val="single" w:color="D9D2C7" w:sz="2"/>
          <w:insideV w:val="single" w:color="D9D2C7" w:sz="2"/>
        </w:tblBorders>
      </w:tblPr>
      <w:tblGrid>
        <w:gridCol w:w="2600"/>
        <w:gridCol w:w="1200"/>
        <w:gridCol w:w="5560"/>
      </w:tblGrid>
      <w:tr>
        <w:trPr>
          <w:tblHeader/>
        </w:trPr>
        <w:tc>
          <w:tcPr>
            <w:tcW w:type="dxa" w:w="2600"/>
            <w:shd w:fill="C05A17" w:color="auto" w:val="clear"/>
            <w:tcMar>
              <w:top w:type="dxa" w:w="60"/>
              <w:left w:type="dxa" w:w="110"/>
              <w:bottom w:type="dxa" w:w="60"/>
              <w:right w:type="dxa" w:w="110"/>
            </w:tcMar>
            <w:vAlign w:val="center"/>
          </w:tcPr>
          <w:p>
            <w:pPr>
              <w:spacing w:after="0" w:line="240"/>
              <w:jc w:val="left"/>
            </w:pPr>
            <w:r>
              <w:rPr>
                <w:rFonts w:ascii="Calibri" w:cs="Calibri" w:eastAsia="Calibri" w:hAnsi="Calibri"/>
                <w:b/>
                <w:bCs/>
                <w:color w:val="FFFFFF"/>
                <w:sz w:val="18"/>
                <w:szCs w:val="18"/>
              </w:rPr>
              <w:t xml:space="preserve">Grosor</w:t>
            </w:r>
          </w:p>
        </w:tc>
        <w:tc>
          <w:tcPr>
            <w:tcW w:type="dxa" w:w="1200"/>
            <w:shd w:fill="C05A17" w:color="auto" w:val="clear"/>
            <w:tcMar>
              <w:top w:type="dxa" w:w="60"/>
              <w:left w:type="dxa" w:w="110"/>
              <w:bottom w:type="dxa" w:w="60"/>
              <w:right w:type="dxa" w:w="110"/>
            </w:tcMar>
            <w:vAlign w:val="center"/>
          </w:tcPr>
          <w:p>
            <w:pPr>
              <w:spacing w:after="0" w:line="240"/>
              <w:jc w:val="right"/>
            </w:pPr>
            <w:r>
              <w:rPr>
                <w:rFonts w:ascii="Calibri" w:cs="Calibri" w:eastAsia="Calibri" w:hAnsi="Calibri"/>
                <w:b/>
                <w:bCs/>
                <w:color w:val="FFFFFF"/>
                <w:sz w:val="18"/>
                <w:szCs w:val="18"/>
              </w:rPr>
              <w:t xml:space="preserve">Refs.</w:t>
            </w:r>
          </w:p>
        </w:tc>
        <w:tc>
          <w:tcPr>
            <w:tcW w:type="dxa" w:w="5560"/>
            <w:shd w:fill="C05A17" w:color="auto" w:val="clear"/>
            <w:tcMar>
              <w:top w:type="dxa" w:w="60"/>
              <w:left w:type="dxa" w:w="110"/>
              <w:bottom w:type="dxa" w:w="60"/>
              <w:right w:type="dxa" w:w="110"/>
            </w:tcMar>
            <w:vAlign w:val="center"/>
          </w:tcPr>
          <w:p>
            <w:pPr>
              <w:spacing w:after="0" w:line="240"/>
              <w:jc w:val="left"/>
            </w:pPr>
            <w:r>
              <w:rPr>
                <w:rFonts w:ascii="Calibri" w:cs="Calibri" w:eastAsia="Calibri" w:hAnsi="Calibri"/>
                <w:b/>
                <w:bCs/>
                <w:color w:val="FFFFFF"/>
                <w:sz w:val="18"/>
                <w:szCs w:val="18"/>
              </w:rPr>
              <w:t xml:space="preserve">Formatos</w:t>
            </w:r>
          </w:p>
        </w:tc>
      </w:tr>
      <w:tr>
        <w:trPr>
          <w:tblHeader w:val="false"/>
        </w:trPr>
        <w:tc>
          <w:tcPr>
            <w:tcW w:type="dxa" w:w="26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Mara 11 (extra grueso)</w:t>
            </w:r>
          </w:p>
        </w:tc>
        <w:tc>
          <w:tcPr>
            <w:tcW w:type="dxa" w:w="12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122</w:t>
            </w:r>
          </w:p>
        </w:tc>
        <w:tc>
          <w:tcPr>
            <w:tcW w:type="dxa" w:w="55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Bobina 110 m · Cono 1.130 m</w:t>
            </w:r>
          </w:p>
        </w:tc>
      </w:tr>
      <w:tr>
        <w:trPr>
          <w:tblHeader w:val="false"/>
        </w:trPr>
        <w:tc>
          <w:tcPr>
            <w:tcW w:type="dxa" w:w="26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Mara 30</w:t>
            </w:r>
          </w:p>
        </w:tc>
        <w:tc>
          <w:tcPr>
            <w:tcW w:type="dxa" w:w="12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463</w:t>
            </w:r>
          </w:p>
        </w:tc>
        <w:tc>
          <w:tcPr>
            <w:tcW w:type="dxa" w:w="55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Bobina 300 m · Cono 1.200 m</w:t>
            </w:r>
          </w:p>
        </w:tc>
      </w:tr>
      <w:tr>
        <w:trPr>
          <w:tblHeader w:val="false"/>
        </w:trPr>
        <w:tc>
          <w:tcPr>
            <w:tcW w:type="dxa" w:w="26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Mara 70</w:t>
            </w:r>
          </w:p>
        </w:tc>
        <w:tc>
          <w:tcPr>
            <w:tcW w:type="dxa" w:w="12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449</w:t>
            </w:r>
          </w:p>
        </w:tc>
        <w:tc>
          <w:tcPr>
            <w:tcW w:type="dxa" w:w="55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Bobina 700 m · Cono 2.800 m</w:t>
            </w:r>
          </w:p>
        </w:tc>
      </w:tr>
      <w:tr>
        <w:trPr>
          <w:tblHeader w:val="false"/>
        </w:trPr>
        <w:tc>
          <w:tcPr>
            <w:tcW w:type="dxa" w:w="26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Mara 120 (fino)</w:t>
            </w:r>
          </w:p>
        </w:tc>
        <w:tc>
          <w:tcPr>
            <w:tcW w:type="dxa" w:w="12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405</w:t>
            </w:r>
          </w:p>
        </w:tc>
        <w:tc>
          <w:tcPr>
            <w:tcW w:type="dxa" w:w="55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Bobina 1.000 m · Cono 5.000 m</w:t>
            </w:r>
          </w:p>
        </w:tc>
      </w:tr>
    </w:tbl>
    <w:p>
      <w:pPr>
        <w:spacing w:after="140"/>
      </w:pPr>
    </w:p>
    <w:p>
      <w:pPr>
        <w:pStyle w:val="Heading3"/>
        <w:spacing w:after="100" w:before="220"/>
      </w:pPr>
      <w:r>
        <w:rPr>
          <w:rFonts w:ascii="Calibri" w:cs="Calibri" w:eastAsia="Calibri" w:hAnsi="Calibri"/>
          <w:b/>
          <w:bCs/>
          <w:color w:val="C05A17"/>
          <w:sz w:val="21"/>
          <w:szCs w:val="21"/>
        </w:rPr>
        <w:t xml:space="preserve">b) Gütermann TERA — poliéster de alta tenacidad, marroquinería y calzado (1.215 refs)</w:t>
      </w:r>
    </w:p>
    <w:tbl>
      <w:tblPr>
        <w:tblW w:type="dxa" w:w="9360"/>
        <w:tblBorders>
          <w:top w:val="single" w:color="D9D2C7" w:sz="2"/>
          <w:left w:val="single" w:color="D9D2C7" w:sz="2"/>
          <w:bottom w:val="single" w:color="D9D2C7" w:sz="2"/>
          <w:right w:val="single" w:color="D9D2C7" w:sz="2"/>
          <w:insideH w:val="single" w:color="D9D2C7" w:sz="2"/>
          <w:insideV w:val="single" w:color="D9D2C7" w:sz="2"/>
        </w:tblBorders>
      </w:tblPr>
      <w:tblGrid>
        <w:gridCol w:w="2600"/>
        <w:gridCol w:w="1200"/>
        <w:gridCol w:w="5560"/>
      </w:tblGrid>
      <w:tr>
        <w:trPr>
          <w:tblHeader/>
        </w:trPr>
        <w:tc>
          <w:tcPr>
            <w:tcW w:type="dxa" w:w="2600"/>
            <w:shd w:fill="C05A17" w:color="auto" w:val="clear"/>
            <w:tcMar>
              <w:top w:type="dxa" w:w="60"/>
              <w:left w:type="dxa" w:w="110"/>
              <w:bottom w:type="dxa" w:w="60"/>
              <w:right w:type="dxa" w:w="110"/>
            </w:tcMar>
            <w:vAlign w:val="center"/>
          </w:tcPr>
          <w:p>
            <w:pPr>
              <w:spacing w:after="0" w:line="240"/>
              <w:jc w:val="left"/>
            </w:pPr>
            <w:r>
              <w:rPr>
                <w:rFonts w:ascii="Calibri" w:cs="Calibri" w:eastAsia="Calibri" w:hAnsi="Calibri"/>
                <w:b/>
                <w:bCs/>
                <w:color w:val="FFFFFF"/>
                <w:sz w:val="18"/>
                <w:szCs w:val="18"/>
              </w:rPr>
              <w:t xml:space="preserve">Grosor</w:t>
            </w:r>
          </w:p>
        </w:tc>
        <w:tc>
          <w:tcPr>
            <w:tcW w:type="dxa" w:w="1200"/>
            <w:shd w:fill="C05A17" w:color="auto" w:val="clear"/>
            <w:tcMar>
              <w:top w:type="dxa" w:w="60"/>
              <w:left w:type="dxa" w:w="110"/>
              <w:bottom w:type="dxa" w:w="60"/>
              <w:right w:type="dxa" w:w="110"/>
            </w:tcMar>
            <w:vAlign w:val="center"/>
          </w:tcPr>
          <w:p>
            <w:pPr>
              <w:spacing w:after="0" w:line="240"/>
              <w:jc w:val="right"/>
            </w:pPr>
            <w:r>
              <w:rPr>
                <w:rFonts w:ascii="Calibri" w:cs="Calibri" w:eastAsia="Calibri" w:hAnsi="Calibri"/>
                <w:b/>
                <w:bCs/>
                <w:color w:val="FFFFFF"/>
                <w:sz w:val="18"/>
                <w:szCs w:val="18"/>
              </w:rPr>
              <w:t xml:space="preserve">Refs.</w:t>
            </w:r>
          </w:p>
        </w:tc>
        <w:tc>
          <w:tcPr>
            <w:tcW w:type="dxa" w:w="5560"/>
            <w:shd w:fill="C05A17" w:color="auto" w:val="clear"/>
            <w:tcMar>
              <w:top w:type="dxa" w:w="60"/>
              <w:left w:type="dxa" w:w="110"/>
              <w:bottom w:type="dxa" w:w="60"/>
              <w:right w:type="dxa" w:w="110"/>
            </w:tcMar>
            <w:vAlign w:val="center"/>
          </w:tcPr>
          <w:p>
            <w:pPr>
              <w:spacing w:after="0" w:line="240"/>
              <w:jc w:val="left"/>
            </w:pPr>
            <w:r>
              <w:rPr>
                <w:rFonts w:ascii="Calibri" w:cs="Calibri" w:eastAsia="Calibri" w:hAnsi="Calibri"/>
                <w:b/>
                <w:bCs/>
                <w:color w:val="FFFFFF"/>
                <w:sz w:val="18"/>
                <w:szCs w:val="18"/>
              </w:rPr>
              <w:t xml:space="preserve">Formatos</w:t>
            </w:r>
          </w:p>
        </w:tc>
      </w:tr>
      <w:tr>
        <w:trPr>
          <w:tblHeader w:val="false"/>
        </w:trPr>
        <w:tc>
          <w:tcPr>
            <w:tcW w:type="dxa" w:w="26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Tera 10</w:t>
            </w:r>
          </w:p>
        </w:tc>
        <w:tc>
          <w:tcPr>
            <w:tcW w:type="dxa" w:w="12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117</w:t>
            </w:r>
          </w:p>
        </w:tc>
        <w:tc>
          <w:tcPr>
            <w:tcW w:type="dxa" w:w="55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Cono 1.000 m</w:t>
            </w:r>
          </w:p>
        </w:tc>
      </w:tr>
      <w:tr>
        <w:trPr>
          <w:tblHeader w:val="false"/>
        </w:trPr>
        <w:tc>
          <w:tcPr>
            <w:tcW w:type="dxa" w:w="26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Tera 20</w:t>
            </w:r>
          </w:p>
        </w:tc>
        <w:tc>
          <w:tcPr>
            <w:tcW w:type="dxa" w:w="12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263</w:t>
            </w:r>
          </w:p>
        </w:tc>
        <w:tc>
          <w:tcPr>
            <w:tcW w:type="dxa" w:w="55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Bobina 200 m · Bobina 600 m</w:t>
            </w:r>
          </w:p>
        </w:tc>
      </w:tr>
      <w:tr>
        <w:trPr>
          <w:tblHeader w:val="false"/>
        </w:trPr>
        <w:tc>
          <w:tcPr>
            <w:tcW w:type="dxa" w:w="26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Tera 30</w:t>
            </w:r>
          </w:p>
        </w:tc>
        <w:tc>
          <w:tcPr>
            <w:tcW w:type="dxa" w:w="12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218</w:t>
            </w:r>
          </w:p>
        </w:tc>
        <w:tc>
          <w:tcPr>
            <w:tcW w:type="dxa" w:w="55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Bobina 300 m · Bobina 900 m</w:t>
            </w:r>
          </w:p>
        </w:tc>
      </w:tr>
      <w:tr>
        <w:trPr>
          <w:tblHeader w:val="false"/>
        </w:trPr>
        <w:tc>
          <w:tcPr>
            <w:tcW w:type="dxa" w:w="26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Tera 40</w:t>
            </w:r>
          </w:p>
        </w:tc>
        <w:tc>
          <w:tcPr>
            <w:tcW w:type="dxa" w:w="12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276</w:t>
            </w:r>
          </w:p>
        </w:tc>
        <w:tc>
          <w:tcPr>
            <w:tcW w:type="dxa" w:w="55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Bobina 400 m · Bobina 1.200 m</w:t>
            </w:r>
          </w:p>
        </w:tc>
      </w:tr>
      <w:tr>
        <w:trPr>
          <w:tblHeader w:val="false"/>
        </w:trPr>
        <w:tc>
          <w:tcPr>
            <w:tcW w:type="dxa" w:w="26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Tera 60</w:t>
            </w:r>
          </w:p>
        </w:tc>
        <w:tc>
          <w:tcPr>
            <w:tcW w:type="dxa" w:w="12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187</w:t>
            </w:r>
          </w:p>
        </w:tc>
        <w:tc>
          <w:tcPr>
            <w:tcW w:type="dxa" w:w="55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Bobina 600 m · Bobina 1.800 m</w:t>
            </w:r>
          </w:p>
        </w:tc>
      </w:tr>
      <w:tr>
        <w:trPr>
          <w:tblHeader w:val="false"/>
        </w:trPr>
        <w:tc>
          <w:tcPr>
            <w:tcW w:type="dxa" w:w="26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Tera 80</w:t>
            </w:r>
          </w:p>
        </w:tc>
        <w:tc>
          <w:tcPr>
            <w:tcW w:type="dxa" w:w="12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141</w:t>
            </w:r>
          </w:p>
        </w:tc>
        <w:tc>
          <w:tcPr>
            <w:tcW w:type="dxa" w:w="55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Bobina 800 m · Bobina 2.400 m</w:t>
            </w:r>
          </w:p>
        </w:tc>
      </w:tr>
    </w:tbl>
    <w:p>
      <w:pPr>
        <w:spacing w:after="140"/>
      </w:pPr>
    </w:p>
    <w:p>
      <w:pPr>
        <w:pStyle w:val="Heading3"/>
        <w:spacing w:after="100" w:before="220"/>
      </w:pPr>
      <w:r>
        <w:rPr>
          <w:rFonts w:ascii="Calibri" w:cs="Calibri" w:eastAsia="Calibri" w:hAnsi="Calibri"/>
          <w:b/>
          <w:bCs/>
          <w:color w:val="C05A17"/>
          <w:sz w:val="21"/>
          <w:szCs w:val="21"/>
        </w:rPr>
        <w:t xml:space="preserve">c) SERAFIL (Amann) — competidor directo de Tera, mismos usos (877 refs)</w:t>
      </w:r>
    </w:p>
    <w:p>
      <w:pPr>
        <w:spacing w:after="180" w:line="276"/>
      </w:pPr>
      <w:r>
        <w:rPr>
          <w:rFonts w:ascii="Calibri" w:cs="Calibri" w:eastAsia="Calibri" w:hAnsi="Calibri"/>
          <w:color w:val="1F2933"/>
          <w:sz w:val="20"/>
          <w:szCs w:val="20"/>
        </w:rPr>
        <w:t xml:space="preserve">Serafil 10 (92) · Serafil 15 (18) · Serafil 20 (175) · Serafil 30 (183) · Serafil 40 (168) · Serafil 60 (128) · Serafil 80 (113).</w:t>
      </w:r>
    </w:p>
    <w:p>
      <w:pPr>
        <w:pStyle w:val="Heading3"/>
        <w:spacing w:after="100" w:before="220"/>
      </w:pPr>
      <w:r>
        <w:rPr>
          <w:rFonts w:ascii="Calibri" w:cs="Calibri" w:eastAsia="Calibri" w:hAnsi="Calibri"/>
          <w:b/>
          <w:bCs/>
          <w:color w:val="C05A17"/>
          <w:sz w:val="21"/>
          <w:szCs w:val="21"/>
        </w:rPr>
        <w:t xml:space="preserve">d) Hilos especiales — donde no manda el color sino la aplicación (313 refs)</w:t>
      </w:r>
    </w:p>
    <w:tbl>
      <w:tblPr>
        <w:tblW w:type="dxa" w:w="9360"/>
        <w:tblBorders>
          <w:top w:val="single" w:color="D9D2C7" w:sz="2"/>
          <w:left w:val="single" w:color="D9D2C7" w:sz="2"/>
          <w:bottom w:val="single" w:color="D9D2C7" w:sz="2"/>
          <w:right w:val="single" w:color="D9D2C7" w:sz="2"/>
          <w:insideH w:val="single" w:color="D9D2C7" w:sz="2"/>
          <w:insideV w:val="single" w:color="D9D2C7" w:sz="2"/>
        </w:tblBorders>
      </w:tblPr>
      <w:tblGrid>
        <w:gridCol w:w="3100"/>
        <w:gridCol w:w="1000"/>
        <w:gridCol w:w="5260"/>
      </w:tblGrid>
      <w:tr>
        <w:trPr>
          <w:tblHeader/>
        </w:trPr>
        <w:tc>
          <w:tcPr>
            <w:tcW w:type="dxa" w:w="3100"/>
            <w:shd w:fill="C05A17" w:color="auto" w:val="clear"/>
            <w:tcMar>
              <w:top w:type="dxa" w:w="60"/>
              <w:left w:type="dxa" w:w="110"/>
              <w:bottom w:type="dxa" w:w="60"/>
              <w:right w:type="dxa" w:w="110"/>
            </w:tcMar>
            <w:vAlign w:val="center"/>
          </w:tcPr>
          <w:p>
            <w:pPr>
              <w:spacing w:after="0" w:line="240"/>
              <w:jc w:val="left"/>
            </w:pPr>
            <w:r>
              <w:rPr>
                <w:rFonts w:ascii="Calibri" w:cs="Calibri" w:eastAsia="Calibri" w:hAnsi="Calibri"/>
                <w:b/>
                <w:bCs/>
                <w:color w:val="FFFFFF"/>
                <w:sz w:val="18"/>
                <w:szCs w:val="18"/>
              </w:rPr>
              <w:t xml:space="preserve">Tipo</w:t>
            </w:r>
          </w:p>
        </w:tc>
        <w:tc>
          <w:tcPr>
            <w:tcW w:type="dxa" w:w="1000"/>
            <w:shd w:fill="C05A17" w:color="auto" w:val="clear"/>
            <w:tcMar>
              <w:top w:type="dxa" w:w="60"/>
              <w:left w:type="dxa" w:w="110"/>
              <w:bottom w:type="dxa" w:w="60"/>
              <w:right w:type="dxa" w:w="110"/>
            </w:tcMar>
            <w:vAlign w:val="center"/>
          </w:tcPr>
          <w:p>
            <w:pPr>
              <w:spacing w:after="0" w:line="240"/>
              <w:jc w:val="right"/>
            </w:pPr>
            <w:r>
              <w:rPr>
                <w:rFonts w:ascii="Calibri" w:cs="Calibri" w:eastAsia="Calibri" w:hAnsi="Calibri"/>
                <w:b/>
                <w:bCs/>
                <w:color w:val="FFFFFF"/>
                <w:sz w:val="18"/>
                <w:szCs w:val="18"/>
              </w:rPr>
              <w:t xml:space="preserve">Refs.</w:t>
            </w:r>
          </w:p>
        </w:tc>
        <w:tc>
          <w:tcPr>
            <w:tcW w:type="dxa" w:w="5260"/>
            <w:shd w:fill="C05A17" w:color="auto" w:val="clear"/>
            <w:tcMar>
              <w:top w:type="dxa" w:w="60"/>
              <w:left w:type="dxa" w:w="110"/>
              <w:bottom w:type="dxa" w:w="60"/>
              <w:right w:type="dxa" w:w="110"/>
            </w:tcMar>
            <w:vAlign w:val="center"/>
          </w:tcPr>
          <w:p>
            <w:pPr>
              <w:spacing w:after="0" w:line="240"/>
              <w:jc w:val="left"/>
            </w:pPr>
            <w:r>
              <w:rPr>
                <w:rFonts w:ascii="Calibri" w:cs="Calibri" w:eastAsia="Calibri" w:hAnsi="Calibri"/>
                <w:b/>
                <w:bCs/>
                <w:color w:val="FFFFFF"/>
                <w:sz w:val="18"/>
                <w:szCs w:val="18"/>
              </w:rPr>
              <w:t xml:space="preserve">Afinidad de uso</w:t>
            </w:r>
          </w:p>
        </w:tc>
      </w:tr>
      <w:tr>
        <w:trPr>
          <w:tblHeader w:val="false"/>
        </w:trPr>
        <w:tc>
          <w:tcPr>
            <w:tcW w:type="dxa" w:w="31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Hilos de bordar (Isacord / Isamet 40)</w:t>
            </w:r>
          </w:p>
        </w:tc>
        <w:tc>
          <w:tcPr>
            <w:tcW w:type="dxa" w:w="10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148</w:t>
            </w:r>
          </w:p>
        </w:tc>
        <w:tc>
          <w:tcPr>
            <w:tcW w:type="dxa" w:w="52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Bordado a máquina; packs de 5/10/20/30/50 bobinas</w:t>
            </w:r>
          </w:p>
        </w:tc>
      </w:tr>
      <w:tr>
        <w:trPr>
          <w:tblHeader w:val="false"/>
        </w:trPr>
        <w:tc>
          <w:tcPr>
            <w:tcW w:type="dxa" w:w="31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Encerados</w:t>
            </w:r>
          </w:p>
        </w:tc>
        <w:tc>
          <w:tcPr>
            <w:tcW w:type="dxa" w:w="10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41</w:t>
            </w:r>
          </w:p>
        </w:tc>
        <w:tc>
          <w:tcPr>
            <w:tcW w:type="dxa" w:w="52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Costura a mano de cuero — afín a leznas, agujas curvas y cordón encerado</w:t>
            </w:r>
          </w:p>
        </w:tc>
      </w:tr>
      <w:tr>
        <w:trPr>
          <w:tblHeader w:val="false"/>
        </w:trPr>
        <w:tc>
          <w:tcPr>
            <w:tcW w:type="dxa" w:w="31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Poliamida</w:t>
            </w:r>
          </w:p>
        </w:tc>
        <w:tc>
          <w:tcPr>
            <w:tcW w:type="dxa" w:w="10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38</w:t>
            </w:r>
          </w:p>
        </w:tc>
        <w:tc>
          <w:tcPr>
            <w:tcW w:type="dxa" w:w="52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Alta resistencia / náutica</w:t>
            </w:r>
          </w:p>
        </w:tc>
      </w:tr>
      <w:tr>
        <w:trPr>
          <w:tblHeader w:val="false"/>
        </w:trPr>
        <w:tc>
          <w:tcPr>
            <w:tcW w:type="dxa" w:w="31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Overlock–remallar</w:t>
            </w:r>
          </w:p>
        </w:tc>
        <w:tc>
          <w:tcPr>
            <w:tcW w:type="dxa" w:w="10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30</w:t>
            </w:r>
          </w:p>
        </w:tc>
        <w:tc>
          <w:tcPr>
            <w:tcW w:type="dxa" w:w="52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Va siempre con agujas de remalladora</w:t>
            </w:r>
          </w:p>
        </w:tc>
      </w:tr>
      <w:tr>
        <w:trPr>
          <w:tblHeader w:val="false"/>
        </w:trPr>
        <w:tc>
          <w:tcPr>
            <w:tcW w:type="dxa" w:w="31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Packs Mara 120 / vaqueros</w:t>
            </w:r>
          </w:p>
        </w:tc>
        <w:tc>
          <w:tcPr>
            <w:tcW w:type="dxa" w:w="10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14</w:t>
            </w:r>
          </w:p>
        </w:tc>
        <w:tc>
          <w:tcPr>
            <w:tcW w:type="dxa" w:w="52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Producto de entrada, orientado a DIY</w:t>
            </w:r>
          </w:p>
        </w:tc>
      </w:tr>
      <w:tr>
        <w:trPr>
          <w:tblHeader w:val="false"/>
        </w:trPr>
        <w:tc>
          <w:tcPr>
            <w:tcW w:type="dxa" w:w="31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Hilo elástico</w:t>
            </w:r>
          </w:p>
        </w:tc>
        <w:tc>
          <w:tcPr>
            <w:tcW w:type="dxa" w:w="10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11</w:t>
            </w:r>
          </w:p>
        </w:tc>
        <w:tc>
          <w:tcPr>
            <w:tcW w:type="dxa" w:w="52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Frunce y confección</w:t>
            </w:r>
          </w:p>
        </w:tc>
      </w:tr>
      <w:tr>
        <w:trPr>
          <w:tblHeader w:val="false"/>
        </w:trPr>
        <w:tc>
          <w:tcPr>
            <w:tcW w:type="dxa" w:w="31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Técnicos</w:t>
            </w:r>
          </w:p>
        </w:tc>
        <w:tc>
          <w:tcPr>
            <w:tcW w:type="dxa" w:w="10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7</w:t>
            </w:r>
          </w:p>
        </w:tc>
        <w:tc>
          <w:tcPr>
            <w:tcW w:type="dxa" w:w="52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Kevlar y especiales</w:t>
            </w:r>
          </w:p>
        </w:tc>
      </w:tr>
      <w:tr>
        <w:trPr>
          <w:tblHeader w:val="false"/>
        </w:trPr>
        <w:tc>
          <w:tcPr>
            <w:tcW w:type="dxa" w:w="31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Yute</w:t>
            </w:r>
          </w:p>
        </w:tc>
        <w:tc>
          <w:tcPr>
            <w:tcW w:type="dxa" w:w="10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w:t>
            </w:r>
          </w:p>
        </w:tc>
        <w:tc>
          <w:tcPr>
            <w:tcW w:type="dxa" w:w="52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Decoración</w:t>
            </w:r>
          </w:p>
        </w:tc>
      </w:tr>
    </w:tbl>
    <w:p>
      <w:pPr>
        <w:spacing w:after="160"/>
      </w:pPr>
    </w:p>
    <w:p>
      <w:pPr>
        <w:spacing w:after="120" w:line="276"/>
      </w:pPr>
      <w:r>
        <w:rPr>
          <w:rFonts w:ascii="Calibri" w:cs="Calibri" w:eastAsia="Calibri" w:hAnsi="Calibri"/>
          <w:b/>
          <w:bCs/>
          <w:color w:val="1F2933"/>
          <w:sz w:val="20"/>
          <w:szCs w:val="20"/>
        </w:rPr>
        <w:t xml:space="preserve">Paleta de color (compartida por toda la familia): </w:t>
      </w:r>
      <w:r>
        <w:rPr>
          <w:rFonts w:ascii="Calibri" w:cs="Calibri" w:eastAsia="Calibri" w:hAnsi="Calibri"/>
          <w:b w:val="false"/>
          <w:bCs w:val="false"/>
          <w:color w:val="1F2933"/>
          <w:sz w:val="20"/>
          <w:szCs w:val="20"/>
        </w:rPr>
        <w:t xml:space="preserve">marrones (899 apariciones) y azules (561) dominan, seguidos de verdes (478), grises (341) y rojos (282). Es la paleta típica de tapicería, calzado y marroquinería, no de moda.</w:t>
      </w:r>
    </w:p>
    <w:p>
      <w:r>
        <w:br w:type="page"/>
      </w:r>
    </w:p>
    <w:p>
      <w:pPr>
        <w:pStyle w:val="Heading2"/>
        <w:spacing w:after="120" w:before="280"/>
      </w:pPr>
      <w:r>
        <w:rPr>
          <w:rFonts w:ascii="Calibri" w:cs="Calibri" w:eastAsia="Calibri" w:hAnsi="Calibri"/>
          <w:b/>
          <w:bCs/>
          <w:color w:val="1F2933"/>
          <w:sz w:val="24"/>
          <w:szCs w:val="24"/>
        </w:rPr>
        <w:t xml:space="preserve">3.2 · Cremalleras y cursores — 525 refs (8,7 %)</w:t>
      </w:r>
    </w:p>
    <w:p>
      <w:pPr>
        <w:spacing w:after="180" w:line="276"/>
      </w:pPr>
      <w:r>
        <w:rPr>
          <w:rFonts w:ascii="Calibri" w:cs="Calibri" w:eastAsia="Calibri" w:hAnsi="Calibri"/>
          <w:color w:val="1F2933"/>
          <w:sz w:val="20"/>
          <w:szCs w:val="20"/>
        </w:rPr>
        <w:t xml:space="preserve">Familia perfectamente matricial: maya (calibre) × material × tipo de cierre, más los cursores sueltos.</w:t>
      </w:r>
    </w:p>
    <w:tbl>
      <w:tblPr>
        <w:tblW w:type="dxa" w:w="9360"/>
        <w:tblBorders>
          <w:top w:val="single" w:color="D9D2C7" w:sz="2"/>
          <w:left w:val="single" w:color="D9D2C7" w:sz="2"/>
          <w:bottom w:val="single" w:color="D9D2C7" w:sz="2"/>
          <w:right w:val="single" w:color="D9D2C7" w:sz="2"/>
          <w:insideH w:val="single" w:color="D9D2C7" w:sz="2"/>
          <w:insideV w:val="single" w:color="D9D2C7" w:sz="2"/>
        </w:tblBorders>
      </w:tblPr>
      <w:tblGrid>
        <w:gridCol w:w="1560"/>
        <w:gridCol w:w="1300"/>
        <w:gridCol w:w="1300"/>
        <w:gridCol w:w="1300"/>
        <w:gridCol w:w="1300"/>
        <w:gridCol w:w="1300"/>
        <w:gridCol w:w="1300"/>
      </w:tblGrid>
      <w:tr>
        <w:trPr>
          <w:tblHeader/>
        </w:trPr>
        <w:tc>
          <w:tcPr>
            <w:tcW w:type="dxa" w:w="1560"/>
            <w:shd w:fill="C05A17" w:color="auto" w:val="clear"/>
            <w:tcMar>
              <w:top w:type="dxa" w:w="60"/>
              <w:left w:type="dxa" w:w="110"/>
              <w:bottom w:type="dxa" w:w="60"/>
              <w:right w:type="dxa" w:w="110"/>
            </w:tcMar>
            <w:vAlign w:val="center"/>
          </w:tcPr>
          <w:p>
            <w:pPr>
              <w:spacing w:after="0" w:line="240"/>
              <w:jc w:val="left"/>
            </w:pPr>
            <w:r>
              <w:rPr>
                <w:rFonts w:ascii="Calibri" w:cs="Calibri" w:eastAsia="Calibri" w:hAnsi="Calibri"/>
                <w:b/>
                <w:bCs/>
                <w:color w:val="FFFFFF"/>
                <w:sz w:val="18"/>
                <w:szCs w:val="18"/>
              </w:rPr>
              <w:t xml:space="preserve"/>
            </w:r>
          </w:p>
        </w:tc>
        <w:tc>
          <w:tcPr>
            <w:tcW w:type="dxa" w:w="1300"/>
            <w:shd w:fill="C05A17" w:color="auto" w:val="clear"/>
            <w:tcMar>
              <w:top w:type="dxa" w:w="60"/>
              <w:left w:type="dxa" w:w="110"/>
              <w:bottom w:type="dxa" w:w="60"/>
              <w:right w:type="dxa" w:w="110"/>
            </w:tcMar>
            <w:vAlign w:val="center"/>
          </w:tcPr>
          <w:p>
            <w:pPr>
              <w:spacing w:after="0" w:line="240"/>
              <w:jc w:val="right"/>
            </w:pPr>
            <w:r>
              <w:rPr>
                <w:rFonts w:ascii="Calibri" w:cs="Calibri" w:eastAsia="Calibri" w:hAnsi="Calibri"/>
                <w:b/>
                <w:bCs/>
                <w:color w:val="FFFFFF"/>
                <w:sz w:val="18"/>
                <w:szCs w:val="18"/>
              </w:rPr>
              <w:t xml:space="preserve">Plást. continua</w:t>
            </w:r>
          </w:p>
        </w:tc>
        <w:tc>
          <w:tcPr>
            <w:tcW w:type="dxa" w:w="1300"/>
            <w:shd w:fill="C05A17" w:color="auto" w:val="clear"/>
            <w:tcMar>
              <w:top w:type="dxa" w:w="60"/>
              <w:left w:type="dxa" w:w="110"/>
              <w:bottom w:type="dxa" w:w="60"/>
              <w:right w:type="dxa" w:w="110"/>
            </w:tcMar>
            <w:vAlign w:val="center"/>
          </w:tcPr>
          <w:p>
            <w:pPr>
              <w:spacing w:after="0" w:line="240"/>
              <w:jc w:val="right"/>
            </w:pPr>
            <w:r>
              <w:rPr>
                <w:rFonts w:ascii="Calibri" w:cs="Calibri" w:eastAsia="Calibri" w:hAnsi="Calibri"/>
                <w:b/>
                <w:bCs/>
                <w:color w:val="FFFFFF"/>
                <w:sz w:val="18"/>
                <w:szCs w:val="18"/>
              </w:rPr>
              <w:t xml:space="preserve">Plást. cerrada</w:t>
            </w:r>
          </w:p>
        </w:tc>
        <w:tc>
          <w:tcPr>
            <w:tcW w:type="dxa" w:w="1300"/>
            <w:shd w:fill="C05A17" w:color="auto" w:val="clear"/>
            <w:tcMar>
              <w:top w:type="dxa" w:w="60"/>
              <w:left w:type="dxa" w:w="110"/>
              <w:bottom w:type="dxa" w:w="60"/>
              <w:right w:type="dxa" w:w="110"/>
            </w:tcMar>
            <w:vAlign w:val="center"/>
          </w:tcPr>
          <w:p>
            <w:pPr>
              <w:spacing w:after="0" w:line="240"/>
              <w:jc w:val="right"/>
            </w:pPr>
            <w:r>
              <w:rPr>
                <w:rFonts w:ascii="Calibri" w:cs="Calibri" w:eastAsia="Calibri" w:hAnsi="Calibri"/>
                <w:b/>
                <w:bCs/>
                <w:color w:val="FFFFFF"/>
                <w:sz w:val="18"/>
                <w:szCs w:val="18"/>
              </w:rPr>
              <w:t xml:space="preserve">Plást. abierta</w:t>
            </w:r>
          </w:p>
        </w:tc>
        <w:tc>
          <w:tcPr>
            <w:tcW w:type="dxa" w:w="1300"/>
            <w:shd w:fill="C05A17" w:color="auto" w:val="clear"/>
            <w:tcMar>
              <w:top w:type="dxa" w:w="60"/>
              <w:left w:type="dxa" w:w="110"/>
              <w:bottom w:type="dxa" w:w="60"/>
              <w:right w:type="dxa" w:w="110"/>
            </w:tcMar>
            <w:vAlign w:val="center"/>
          </w:tcPr>
          <w:p>
            <w:pPr>
              <w:spacing w:after="0" w:line="240"/>
              <w:jc w:val="right"/>
            </w:pPr>
            <w:r>
              <w:rPr>
                <w:rFonts w:ascii="Calibri" w:cs="Calibri" w:eastAsia="Calibri" w:hAnsi="Calibri"/>
                <w:b/>
                <w:bCs/>
                <w:color w:val="FFFFFF"/>
                <w:sz w:val="18"/>
                <w:szCs w:val="18"/>
              </w:rPr>
              <w:t xml:space="preserve">Metál. continua</w:t>
            </w:r>
          </w:p>
        </w:tc>
        <w:tc>
          <w:tcPr>
            <w:tcW w:type="dxa" w:w="1300"/>
            <w:shd w:fill="C05A17" w:color="auto" w:val="clear"/>
            <w:tcMar>
              <w:top w:type="dxa" w:w="60"/>
              <w:left w:type="dxa" w:w="110"/>
              <w:bottom w:type="dxa" w:w="60"/>
              <w:right w:type="dxa" w:w="110"/>
            </w:tcMar>
            <w:vAlign w:val="center"/>
          </w:tcPr>
          <w:p>
            <w:pPr>
              <w:spacing w:after="0" w:line="240"/>
              <w:jc w:val="right"/>
            </w:pPr>
            <w:r>
              <w:rPr>
                <w:rFonts w:ascii="Calibri" w:cs="Calibri" w:eastAsia="Calibri" w:hAnsi="Calibri"/>
                <w:b/>
                <w:bCs/>
                <w:color w:val="FFFFFF"/>
                <w:sz w:val="18"/>
                <w:szCs w:val="18"/>
              </w:rPr>
              <w:t xml:space="preserve">Metál. cerrada</w:t>
            </w:r>
          </w:p>
        </w:tc>
        <w:tc>
          <w:tcPr>
            <w:tcW w:type="dxa" w:w="1300"/>
            <w:shd w:fill="C05A17" w:color="auto" w:val="clear"/>
            <w:tcMar>
              <w:top w:type="dxa" w:w="60"/>
              <w:left w:type="dxa" w:w="110"/>
              <w:bottom w:type="dxa" w:w="60"/>
              <w:right w:type="dxa" w:w="110"/>
            </w:tcMar>
            <w:vAlign w:val="center"/>
          </w:tcPr>
          <w:p>
            <w:pPr>
              <w:spacing w:after="0" w:line="240"/>
              <w:jc w:val="right"/>
            </w:pPr>
            <w:r>
              <w:rPr>
                <w:rFonts w:ascii="Calibri" w:cs="Calibri" w:eastAsia="Calibri" w:hAnsi="Calibri"/>
                <w:b/>
                <w:bCs/>
                <w:color w:val="FFFFFF"/>
                <w:sz w:val="18"/>
                <w:szCs w:val="18"/>
              </w:rPr>
              <w:t xml:space="preserve">Metál. abierta</w:t>
            </w:r>
          </w:p>
        </w:tc>
      </w:tr>
      <w:tr>
        <w:trPr>
          <w:tblHeader w:val="false"/>
        </w:trPr>
        <w:tc>
          <w:tcPr>
            <w:tcW w:type="dxa" w:w="15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Maya 3</w:t>
            </w:r>
          </w:p>
        </w:tc>
        <w:tc>
          <w:tcPr>
            <w:tcW w:type="dxa" w:w="13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45</w:t>
            </w:r>
          </w:p>
        </w:tc>
        <w:tc>
          <w:tcPr>
            <w:tcW w:type="dxa" w:w="13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w:t>
            </w:r>
          </w:p>
        </w:tc>
        <w:tc>
          <w:tcPr>
            <w:tcW w:type="dxa" w:w="13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w:t>
            </w:r>
          </w:p>
        </w:tc>
        <w:tc>
          <w:tcPr>
            <w:tcW w:type="dxa" w:w="13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w:t>
            </w:r>
          </w:p>
        </w:tc>
        <w:tc>
          <w:tcPr>
            <w:tcW w:type="dxa" w:w="13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3</w:t>
            </w:r>
          </w:p>
        </w:tc>
        <w:tc>
          <w:tcPr>
            <w:tcW w:type="dxa" w:w="13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w:t>
            </w:r>
          </w:p>
        </w:tc>
      </w:tr>
      <w:tr>
        <w:trPr>
          <w:tblHeader w:val="false"/>
        </w:trPr>
        <w:tc>
          <w:tcPr>
            <w:tcW w:type="dxa" w:w="15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Maya 5</w:t>
            </w:r>
          </w:p>
        </w:tc>
        <w:tc>
          <w:tcPr>
            <w:tcW w:type="dxa" w:w="13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108</w:t>
            </w:r>
          </w:p>
        </w:tc>
        <w:tc>
          <w:tcPr>
            <w:tcW w:type="dxa" w:w="13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149</w:t>
            </w:r>
          </w:p>
        </w:tc>
        <w:tc>
          <w:tcPr>
            <w:tcW w:type="dxa" w:w="13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4</w:t>
            </w:r>
          </w:p>
        </w:tc>
        <w:tc>
          <w:tcPr>
            <w:tcW w:type="dxa" w:w="13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w:t>
            </w:r>
          </w:p>
        </w:tc>
        <w:tc>
          <w:tcPr>
            <w:tcW w:type="dxa" w:w="13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17</w:t>
            </w:r>
          </w:p>
        </w:tc>
        <w:tc>
          <w:tcPr>
            <w:tcW w:type="dxa" w:w="13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4</w:t>
            </w:r>
          </w:p>
        </w:tc>
      </w:tr>
      <w:tr>
        <w:trPr>
          <w:tblHeader w:val="false"/>
        </w:trPr>
        <w:tc>
          <w:tcPr>
            <w:tcW w:type="dxa" w:w="15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Maya 8</w:t>
            </w:r>
          </w:p>
        </w:tc>
        <w:tc>
          <w:tcPr>
            <w:tcW w:type="dxa" w:w="13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w:t>
            </w:r>
          </w:p>
        </w:tc>
        <w:tc>
          <w:tcPr>
            <w:tcW w:type="dxa" w:w="13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w:t>
            </w:r>
          </w:p>
        </w:tc>
        <w:tc>
          <w:tcPr>
            <w:tcW w:type="dxa" w:w="13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w:t>
            </w:r>
          </w:p>
        </w:tc>
        <w:tc>
          <w:tcPr>
            <w:tcW w:type="dxa" w:w="13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w:t>
            </w:r>
          </w:p>
        </w:tc>
        <w:tc>
          <w:tcPr>
            <w:tcW w:type="dxa" w:w="13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17</w:t>
            </w:r>
          </w:p>
        </w:tc>
        <w:tc>
          <w:tcPr>
            <w:tcW w:type="dxa" w:w="13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w:t>
            </w:r>
          </w:p>
        </w:tc>
      </w:tr>
    </w:tbl>
    <w:p>
      <w:pPr>
        <w:spacing w:after="160"/>
      </w:pPr>
    </w:p>
    <w:p>
      <w:pPr>
        <w:pStyle w:val="ListParagraph"/>
        <w:numPr>
          <w:ilvl w:val="0"/>
          <w:numId w:val="2"/>
        </w:numPr>
        <w:spacing w:after="80" w:line="276"/>
      </w:pPr>
      <w:r>
        <w:rPr>
          <w:rFonts w:ascii="Calibri" w:cs="Calibri" w:eastAsia="Calibri" w:hAnsi="Calibri"/>
          <w:b/>
          <w:bCs/>
          <w:color w:val="1F2933"/>
          <w:sz w:val="20"/>
          <w:szCs w:val="20"/>
        </w:rPr>
        <w:t xml:space="preserve">Cursores sueltos: </w:t>
      </w:r>
      <w:r>
        <w:rPr>
          <w:rFonts w:ascii="Calibri" w:cs="Calibri" w:eastAsia="Calibri" w:hAnsi="Calibri"/>
          <w:b w:val="false"/>
          <w:bCs w:val="false"/>
          <w:color w:val="1F2933"/>
          <w:sz w:val="20"/>
          <w:szCs w:val="20"/>
        </w:rPr>
        <w:t xml:space="preserve">86 (maya 5) + 17 (maya 3) + 19 sin clasificar = 122 refs. Son el complemento obligado de la cremallera continua: quien compra metros, compra cursores.</w:t>
      </w:r>
    </w:p>
    <w:p>
      <w:pPr>
        <w:pStyle w:val="ListParagraph"/>
        <w:numPr>
          <w:ilvl w:val="0"/>
          <w:numId w:val="2"/>
        </w:numPr>
        <w:spacing w:after="80" w:line="276"/>
      </w:pPr>
      <w:r>
        <w:rPr>
          <w:rFonts w:ascii="Calibri" w:cs="Calibri" w:eastAsia="Calibri" w:hAnsi="Calibri"/>
          <w:b/>
          <w:bCs/>
          <w:color w:val="1F2933"/>
          <w:sz w:val="20"/>
          <w:szCs w:val="20"/>
        </w:rPr>
        <w:t xml:space="preserve">Packs y kits: </w:t>
      </w:r>
      <w:r>
        <w:rPr>
          <w:rFonts w:ascii="Calibri" w:cs="Calibri" w:eastAsia="Calibri" w:hAnsi="Calibri"/>
          <w:b w:val="false"/>
          <w:bCs w:val="false"/>
          <w:color w:val="1F2933"/>
          <w:sz w:val="20"/>
          <w:szCs w:val="20"/>
        </w:rPr>
        <w:t xml:space="preserve">97 refs (Pack Cremalleras Maya 5, Maya 3 y Pack para Bolsos). El Pack para Bolsos —20 refs a 6,65 € fijos— es el producto DIY mejor construido del catálogo: combina cremallera + cursor + color coordinado en un solo SKU.</w:t>
      </w:r>
    </w:p>
    <w:p>
      <w:pPr>
        <w:spacing w:after="60"/>
      </w:pPr>
    </w:p>
    <w:p>
      <w:pPr>
        <w:spacing w:after="120" w:line="276"/>
      </w:pPr>
      <w:r>
        <w:rPr>
          <w:rFonts w:ascii="Calibri" w:cs="Calibri" w:eastAsia="Calibri" w:hAnsi="Calibri"/>
          <w:b/>
          <w:bCs/>
          <w:color w:val="1F2933"/>
          <w:sz w:val="20"/>
          <w:szCs w:val="20"/>
        </w:rPr>
        <w:t xml:space="preserve">Lectura comercial: </w:t>
      </w:r>
      <w:r>
        <w:rPr>
          <w:rFonts w:ascii="Calibri" w:cs="Calibri" w:eastAsia="Calibri" w:hAnsi="Calibri"/>
          <w:b w:val="false"/>
          <w:bCs w:val="false"/>
          <w:color w:val="1F2933"/>
          <w:sz w:val="20"/>
          <w:szCs w:val="20"/>
        </w:rPr>
        <w:t xml:space="preserve">maya 5 plástico es el 60 % de la familia; maya 8 sólo existe en metálica cerrada (chaquetas y prendas gruesas).</w:t>
      </w:r>
    </w:p>
    <w:p>
      <w:pPr>
        <w:pStyle w:val="Heading2"/>
        <w:spacing w:after="120" w:before="280"/>
      </w:pPr>
      <w:r>
        <w:rPr>
          <w:rFonts w:ascii="Calibri" w:cs="Calibri" w:eastAsia="Calibri" w:hAnsi="Calibri"/>
          <w:b/>
          <w:bCs/>
          <w:color w:val="1F2933"/>
          <w:sz w:val="24"/>
          <w:szCs w:val="24"/>
        </w:rPr>
        <w:t xml:space="preserve">3.3 · Pasamanería, cintas y cordones — 491 refs (8,1 %)</w:t>
      </w:r>
    </w:p>
    <w:p>
      <w:pPr>
        <w:spacing w:after="180" w:line="276"/>
      </w:pPr>
      <w:r>
        <w:rPr>
          <w:rFonts w:ascii="Calibri" w:cs="Calibri" w:eastAsia="Calibri" w:hAnsi="Calibri"/>
          <w:color w:val="1F2933"/>
          <w:sz w:val="20"/>
          <w:szCs w:val="20"/>
        </w:rPr>
        <w:t xml:space="preserve">Dos subfamilias que el sitio separa pero que compiten por el mismo carrito: acabado y remate.</w:t>
      </w:r>
    </w:p>
    <w:tbl>
      <w:tblPr>
        <w:tblW w:type="dxa" w:w="9360"/>
        <w:tblBorders>
          <w:top w:val="single" w:color="D9D2C7" w:sz="2"/>
          <w:left w:val="single" w:color="D9D2C7" w:sz="2"/>
          <w:bottom w:val="single" w:color="D9D2C7" w:sz="2"/>
          <w:right w:val="single" w:color="D9D2C7" w:sz="2"/>
          <w:insideH w:val="single" w:color="D9D2C7" w:sz="2"/>
          <w:insideV w:val="single" w:color="D9D2C7" w:sz="2"/>
        </w:tblBorders>
      </w:tblPr>
      <w:tblGrid>
        <w:gridCol w:w="2900"/>
        <w:gridCol w:w="1000"/>
        <w:gridCol w:w="700"/>
        <w:gridCol w:w="3760"/>
        <w:gridCol w:w="1000"/>
      </w:tblGrid>
      <w:tr>
        <w:trPr>
          <w:tblHeader/>
        </w:trPr>
        <w:tc>
          <w:tcPr>
            <w:tcW w:type="dxa" w:w="2900"/>
            <w:shd w:fill="C05A17" w:color="auto" w:val="clear"/>
            <w:tcMar>
              <w:top w:type="dxa" w:w="60"/>
              <w:left w:type="dxa" w:w="110"/>
              <w:bottom w:type="dxa" w:w="60"/>
              <w:right w:type="dxa" w:w="110"/>
            </w:tcMar>
            <w:vAlign w:val="center"/>
          </w:tcPr>
          <w:p>
            <w:pPr>
              <w:spacing w:after="0" w:line="240"/>
              <w:jc w:val="left"/>
            </w:pPr>
            <w:r>
              <w:rPr>
                <w:rFonts w:ascii="Calibri" w:cs="Calibri" w:eastAsia="Calibri" w:hAnsi="Calibri"/>
                <w:b/>
                <w:bCs/>
                <w:color w:val="FFFFFF"/>
                <w:sz w:val="18"/>
                <w:szCs w:val="18"/>
              </w:rPr>
              <w:t xml:space="preserve">Cintas (387)</w:t>
            </w:r>
          </w:p>
        </w:tc>
        <w:tc>
          <w:tcPr>
            <w:tcW w:type="dxa" w:w="1000"/>
            <w:shd w:fill="C05A17" w:color="auto" w:val="clear"/>
            <w:tcMar>
              <w:top w:type="dxa" w:w="60"/>
              <w:left w:type="dxa" w:w="110"/>
              <w:bottom w:type="dxa" w:w="60"/>
              <w:right w:type="dxa" w:w="110"/>
            </w:tcMar>
            <w:vAlign w:val="center"/>
          </w:tcPr>
          <w:p>
            <w:pPr>
              <w:spacing w:after="0" w:line="240"/>
              <w:jc w:val="right"/>
            </w:pPr>
            <w:r>
              <w:rPr>
                <w:rFonts w:ascii="Calibri" w:cs="Calibri" w:eastAsia="Calibri" w:hAnsi="Calibri"/>
                <w:b/>
                <w:bCs/>
                <w:color w:val="FFFFFF"/>
                <w:sz w:val="18"/>
                <w:szCs w:val="18"/>
              </w:rPr>
              <w:t xml:space="preserve">Refs.</w:t>
            </w:r>
          </w:p>
        </w:tc>
        <w:tc>
          <w:tcPr>
            <w:tcW w:type="dxa" w:w="700"/>
            <w:shd w:fill="C05A17" w:color="auto" w:val="clear"/>
            <w:tcMar>
              <w:top w:type="dxa" w:w="60"/>
              <w:left w:type="dxa" w:w="110"/>
              <w:bottom w:type="dxa" w:w="60"/>
              <w:right w:type="dxa" w:w="110"/>
            </w:tcMar>
            <w:vAlign w:val="center"/>
          </w:tcPr>
          <w:p>
            <w:pPr>
              <w:spacing w:after="0" w:line="240"/>
              <w:jc w:val="center"/>
            </w:pPr>
            <w:r>
              <w:rPr>
                <w:rFonts w:ascii="Calibri" w:cs="Calibri" w:eastAsia="Calibri" w:hAnsi="Calibri"/>
                <w:b/>
                <w:bCs/>
                <w:color w:val="FFFFFF"/>
                <w:sz w:val="18"/>
                <w:szCs w:val="18"/>
              </w:rPr>
              <w:t xml:space="preserve"/>
            </w:r>
          </w:p>
        </w:tc>
        <w:tc>
          <w:tcPr>
            <w:tcW w:type="dxa" w:w="3760"/>
            <w:shd w:fill="C05A17" w:color="auto" w:val="clear"/>
            <w:tcMar>
              <w:top w:type="dxa" w:w="60"/>
              <w:left w:type="dxa" w:w="110"/>
              <w:bottom w:type="dxa" w:w="60"/>
              <w:right w:type="dxa" w:w="110"/>
            </w:tcMar>
            <w:vAlign w:val="center"/>
          </w:tcPr>
          <w:p>
            <w:pPr>
              <w:spacing w:after="0" w:line="240"/>
              <w:jc w:val="left"/>
            </w:pPr>
            <w:r>
              <w:rPr>
                <w:rFonts w:ascii="Calibri" w:cs="Calibri" w:eastAsia="Calibri" w:hAnsi="Calibri"/>
                <w:b/>
                <w:bCs/>
                <w:color w:val="FFFFFF"/>
                <w:sz w:val="18"/>
                <w:szCs w:val="18"/>
              </w:rPr>
              <w:t xml:space="preserve">Cordones (104)</w:t>
            </w:r>
          </w:p>
        </w:tc>
        <w:tc>
          <w:tcPr>
            <w:tcW w:type="dxa" w:w="1000"/>
            <w:shd w:fill="C05A17" w:color="auto" w:val="clear"/>
            <w:tcMar>
              <w:top w:type="dxa" w:w="60"/>
              <w:left w:type="dxa" w:w="110"/>
              <w:bottom w:type="dxa" w:w="60"/>
              <w:right w:type="dxa" w:w="110"/>
            </w:tcMar>
            <w:vAlign w:val="center"/>
          </w:tcPr>
          <w:p>
            <w:pPr>
              <w:spacing w:after="0" w:line="240"/>
              <w:jc w:val="right"/>
            </w:pPr>
            <w:r>
              <w:rPr>
                <w:rFonts w:ascii="Calibri" w:cs="Calibri" w:eastAsia="Calibri" w:hAnsi="Calibri"/>
                <w:b/>
                <w:bCs/>
                <w:color w:val="FFFFFF"/>
                <w:sz w:val="18"/>
                <w:szCs w:val="18"/>
              </w:rPr>
              <w:t xml:space="preserve">Refs.</w:t>
            </w:r>
          </w:p>
        </w:tc>
      </w:tr>
      <w:tr>
        <w:trPr>
          <w:tblHeader w:val="false"/>
        </w:trPr>
        <w:tc>
          <w:tcPr>
            <w:tcW w:type="dxa" w:w="29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Cinta de raso</w:t>
            </w:r>
          </w:p>
        </w:tc>
        <w:tc>
          <w:tcPr>
            <w:tcW w:type="dxa" w:w="10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101</w:t>
            </w:r>
          </w:p>
        </w:tc>
        <w:tc>
          <w:tcPr>
            <w:tcW w:type="dxa" w:w="700"/>
            <w:tcMar>
              <w:top w:type="dxa" w:w="60"/>
              <w:left w:type="dxa" w:w="110"/>
              <w:bottom w:type="dxa" w:w="60"/>
              <w:right w:type="dxa" w:w="110"/>
            </w:tcMar>
            <w:vAlign w:val="center"/>
          </w:tcPr>
          <w:p>
            <w:pPr>
              <w:spacing w:after="0" w:line="240"/>
              <w:jc w:val="center"/>
            </w:pPr>
            <w:r>
              <w:rPr>
                <w:rFonts w:ascii="Calibri" w:cs="Calibri" w:eastAsia="Calibri" w:hAnsi="Calibri"/>
                <w:b w:val="false"/>
                <w:bCs w:val="false"/>
                <w:color w:val="1F2933"/>
                <w:sz w:val="18"/>
                <w:szCs w:val="18"/>
              </w:rPr>
              <w:t xml:space="preserve"/>
            </w:r>
          </w:p>
        </w:tc>
        <w:tc>
          <w:tcPr>
            <w:tcW w:type="dxa" w:w="37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Semiencerado 2 mm</w:t>
            </w:r>
          </w:p>
        </w:tc>
        <w:tc>
          <w:tcPr>
            <w:tcW w:type="dxa" w:w="10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87</w:t>
            </w:r>
          </w:p>
        </w:tc>
      </w:tr>
      <w:tr>
        <w:trPr>
          <w:tblHeader w:val="false"/>
        </w:trPr>
        <w:tc>
          <w:tcPr>
            <w:tcW w:type="dxa" w:w="29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Velcro (cintas de cierre)</w:t>
            </w:r>
          </w:p>
        </w:tc>
        <w:tc>
          <w:tcPr>
            <w:tcW w:type="dxa" w:w="10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94</w:t>
            </w:r>
          </w:p>
        </w:tc>
        <w:tc>
          <w:tcPr>
            <w:tcW w:type="dxa" w:w="700"/>
            <w:shd w:fill="F4F1EC" w:color="auto" w:val="clear"/>
            <w:tcMar>
              <w:top w:type="dxa" w:w="60"/>
              <w:left w:type="dxa" w:w="110"/>
              <w:bottom w:type="dxa" w:w="60"/>
              <w:right w:type="dxa" w:w="110"/>
            </w:tcMar>
            <w:vAlign w:val="center"/>
          </w:tcPr>
          <w:p>
            <w:pPr>
              <w:spacing w:after="0" w:line="240"/>
              <w:jc w:val="center"/>
            </w:pPr>
            <w:r>
              <w:rPr>
                <w:rFonts w:ascii="Calibri" w:cs="Calibri" w:eastAsia="Calibri" w:hAnsi="Calibri"/>
                <w:b w:val="false"/>
                <w:bCs w:val="false"/>
                <w:color w:val="1F2933"/>
                <w:sz w:val="18"/>
                <w:szCs w:val="18"/>
              </w:rPr>
              <w:t xml:space="preserve"/>
            </w:r>
          </w:p>
        </w:tc>
        <w:tc>
          <w:tcPr>
            <w:tcW w:type="dxa" w:w="37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Cordón de algodón / macramé</w:t>
            </w:r>
          </w:p>
        </w:tc>
        <w:tc>
          <w:tcPr>
            <w:tcW w:type="dxa" w:w="10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6</w:t>
            </w:r>
          </w:p>
        </w:tc>
      </w:tr>
      <w:tr>
        <w:trPr>
          <w:tblHeader w:val="false"/>
        </w:trPr>
        <w:tc>
          <w:tcPr>
            <w:tcW w:type="dxa" w:w="29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Cinta faya</w:t>
            </w:r>
          </w:p>
        </w:tc>
        <w:tc>
          <w:tcPr>
            <w:tcW w:type="dxa" w:w="10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58</w:t>
            </w:r>
          </w:p>
        </w:tc>
        <w:tc>
          <w:tcPr>
            <w:tcW w:type="dxa" w:w="700"/>
            <w:tcMar>
              <w:top w:type="dxa" w:w="60"/>
              <w:left w:type="dxa" w:w="110"/>
              <w:bottom w:type="dxa" w:w="60"/>
              <w:right w:type="dxa" w:w="110"/>
            </w:tcMar>
            <w:vAlign w:val="center"/>
          </w:tcPr>
          <w:p>
            <w:pPr>
              <w:spacing w:after="0" w:line="240"/>
              <w:jc w:val="center"/>
            </w:pPr>
            <w:r>
              <w:rPr>
                <w:rFonts w:ascii="Calibri" w:cs="Calibri" w:eastAsia="Calibri" w:hAnsi="Calibri"/>
                <w:b w:val="false"/>
                <w:bCs w:val="false"/>
                <w:color w:val="1F2933"/>
                <w:sz w:val="18"/>
                <w:szCs w:val="18"/>
              </w:rPr>
              <w:t xml:space="preserve"/>
            </w:r>
          </w:p>
        </w:tc>
        <w:tc>
          <w:tcPr>
            <w:tcW w:type="dxa" w:w="37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Semiencerado 3 mm</w:t>
            </w:r>
          </w:p>
        </w:tc>
        <w:tc>
          <w:tcPr>
            <w:tcW w:type="dxa" w:w="10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4</w:t>
            </w:r>
          </w:p>
        </w:tc>
      </w:tr>
      <w:tr>
        <w:trPr>
          <w:tblHeader w:val="false"/>
        </w:trPr>
        <w:tc>
          <w:tcPr>
            <w:tcW w:type="dxa" w:w="29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Cola de ratón</w:t>
            </w:r>
          </w:p>
        </w:tc>
        <w:tc>
          <w:tcPr>
            <w:tcW w:type="dxa" w:w="10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48</w:t>
            </w:r>
          </w:p>
        </w:tc>
        <w:tc>
          <w:tcPr>
            <w:tcW w:type="dxa" w:w="700"/>
            <w:shd w:fill="F4F1EC" w:color="auto" w:val="clear"/>
            <w:tcMar>
              <w:top w:type="dxa" w:w="60"/>
              <w:left w:type="dxa" w:w="110"/>
              <w:bottom w:type="dxa" w:w="60"/>
              <w:right w:type="dxa" w:w="110"/>
            </w:tcMar>
            <w:vAlign w:val="center"/>
          </w:tcPr>
          <w:p>
            <w:pPr>
              <w:spacing w:after="0" w:line="240"/>
              <w:jc w:val="center"/>
            </w:pPr>
            <w:r>
              <w:rPr>
                <w:rFonts w:ascii="Calibri" w:cs="Calibri" w:eastAsia="Calibri" w:hAnsi="Calibri"/>
                <w:b w:val="false"/>
                <w:bCs w:val="false"/>
                <w:color w:val="1F2933"/>
                <w:sz w:val="18"/>
                <w:szCs w:val="18"/>
              </w:rPr>
              <w:t xml:space="preserve"/>
            </w:r>
          </w:p>
        </w:tc>
        <w:tc>
          <w:tcPr>
            <w:tcW w:type="dxa" w:w="37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Cordón náutico</w:t>
            </w:r>
          </w:p>
        </w:tc>
        <w:tc>
          <w:tcPr>
            <w:tcW w:type="dxa" w:w="10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4</w:t>
            </w:r>
          </w:p>
        </w:tc>
      </w:tr>
      <w:tr>
        <w:trPr>
          <w:tblHeader w:val="false"/>
        </w:trPr>
        <w:tc>
          <w:tcPr>
            <w:tcW w:type="dxa" w:w="29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Cinta mochila</w:t>
            </w:r>
          </w:p>
        </w:tc>
        <w:tc>
          <w:tcPr>
            <w:tcW w:type="dxa" w:w="10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36</w:t>
            </w:r>
          </w:p>
        </w:tc>
        <w:tc>
          <w:tcPr>
            <w:tcW w:type="dxa" w:w="700"/>
            <w:tcMar>
              <w:top w:type="dxa" w:w="60"/>
              <w:left w:type="dxa" w:w="110"/>
              <w:bottom w:type="dxa" w:w="60"/>
              <w:right w:type="dxa" w:w="110"/>
            </w:tcMar>
            <w:vAlign w:val="center"/>
          </w:tcPr>
          <w:p>
            <w:pPr>
              <w:spacing w:after="0" w:line="240"/>
              <w:jc w:val="center"/>
            </w:pPr>
            <w:r>
              <w:rPr>
                <w:rFonts w:ascii="Calibri" w:cs="Calibri" w:eastAsia="Calibri" w:hAnsi="Calibri"/>
                <w:b w:val="false"/>
                <w:bCs w:val="false"/>
                <w:color w:val="1F2933"/>
                <w:sz w:val="18"/>
                <w:szCs w:val="18"/>
              </w:rPr>
              <w:t xml:space="preserve"/>
            </w:r>
          </w:p>
        </w:tc>
        <w:tc>
          <w:tcPr>
            <w:tcW w:type="dxa" w:w="37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Varios encerados</w:t>
            </w:r>
          </w:p>
        </w:tc>
        <w:tc>
          <w:tcPr>
            <w:tcW w:type="dxa" w:w="10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3</w:t>
            </w:r>
          </w:p>
        </w:tc>
      </w:tr>
      <w:tr>
        <w:trPr>
          <w:tblHeader w:val="false"/>
        </w:trPr>
        <w:tc>
          <w:tcPr>
            <w:tcW w:type="dxa" w:w="29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Cinta bies</w:t>
            </w:r>
          </w:p>
        </w:tc>
        <w:tc>
          <w:tcPr>
            <w:tcW w:type="dxa" w:w="10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25</w:t>
            </w:r>
          </w:p>
        </w:tc>
        <w:tc>
          <w:tcPr>
            <w:tcW w:type="dxa" w:w="700"/>
            <w:shd w:fill="F4F1EC" w:color="auto" w:val="clear"/>
            <w:tcMar>
              <w:top w:type="dxa" w:w="60"/>
              <w:left w:type="dxa" w:w="110"/>
              <w:bottom w:type="dxa" w:w="60"/>
              <w:right w:type="dxa" w:w="110"/>
            </w:tcMar>
            <w:vAlign w:val="center"/>
          </w:tcPr>
          <w:p>
            <w:pPr>
              <w:spacing w:after="0" w:line="240"/>
              <w:jc w:val="center"/>
            </w:pPr>
            <w:r>
              <w:rPr>
                <w:rFonts w:ascii="Calibri" w:cs="Calibri" w:eastAsia="Calibri" w:hAnsi="Calibri"/>
                <w:b w:val="false"/>
                <w:bCs w:val="false"/>
                <w:color w:val="1F2933"/>
                <w:sz w:val="18"/>
                <w:szCs w:val="18"/>
              </w:rPr>
              <w:t xml:space="preserve"/>
            </w:r>
          </w:p>
        </w:tc>
        <w:tc>
          <w:tcPr>
            <w:tcW w:type="dxa" w:w="37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
            </w:r>
          </w:p>
        </w:tc>
        <w:tc>
          <w:tcPr>
            <w:tcW w:type="dxa" w:w="10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
            </w:r>
          </w:p>
        </w:tc>
      </w:tr>
      <w:tr>
        <w:trPr>
          <w:tblHeader w:val="false"/>
        </w:trPr>
        <w:tc>
          <w:tcPr>
            <w:tcW w:type="dxa" w:w="29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Otras cintas</w:t>
            </w:r>
          </w:p>
        </w:tc>
        <w:tc>
          <w:tcPr>
            <w:tcW w:type="dxa" w:w="10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24</w:t>
            </w:r>
          </w:p>
        </w:tc>
        <w:tc>
          <w:tcPr>
            <w:tcW w:type="dxa" w:w="700"/>
            <w:tcMar>
              <w:top w:type="dxa" w:w="60"/>
              <w:left w:type="dxa" w:w="110"/>
              <w:bottom w:type="dxa" w:w="60"/>
              <w:right w:type="dxa" w:w="110"/>
            </w:tcMar>
            <w:vAlign w:val="center"/>
          </w:tcPr>
          <w:p>
            <w:pPr>
              <w:spacing w:after="0" w:line="240"/>
              <w:jc w:val="center"/>
            </w:pPr>
            <w:r>
              <w:rPr>
                <w:rFonts w:ascii="Calibri" w:cs="Calibri" w:eastAsia="Calibri" w:hAnsi="Calibri"/>
                <w:b w:val="false"/>
                <w:bCs w:val="false"/>
                <w:color w:val="1F2933"/>
                <w:sz w:val="18"/>
                <w:szCs w:val="18"/>
              </w:rPr>
              <w:t xml:space="preserve"/>
            </w:r>
          </w:p>
        </w:tc>
        <w:tc>
          <w:tcPr>
            <w:tcW w:type="dxa" w:w="37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
            </w:r>
          </w:p>
        </w:tc>
        <w:tc>
          <w:tcPr>
            <w:tcW w:type="dxa" w:w="10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
            </w:r>
          </w:p>
        </w:tc>
      </w:tr>
    </w:tbl>
    <w:p>
      <w:pPr>
        <w:spacing w:after="160"/>
      </w:pPr>
    </w:p>
    <w:p>
      <w:pPr>
        <w:spacing w:after="120" w:line="276"/>
      </w:pPr>
      <w:r>
        <w:rPr>
          <w:rFonts w:ascii="Calibri" w:cs="Calibri" w:eastAsia="Calibri" w:hAnsi="Calibri"/>
          <w:color w:val="1F2933"/>
          <w:sz w:val="20"/>
          <w:szCs w:val="20"/>
        </w:rPr>
        <w:t xml:space="preserve">Precio mediano de 0,42–0,45 €: producto de venta por metro e impulso, ideal para bundles. El cordón semiencerado de 2 mm (87 refs de color) es afín directo al hilo encerado y a la marroquinería a mano.</w:t>
      </w:r>
    </w:p>
    <w:p>
      <w:r>
        <w:br w:type="page"/>
      </w:r>
    </w:p>
    <w:p>
      <w:pPr>
        <w:pStyle w:val="Heading2"/>
        <w:spacing w:after="120" w:before="280"/>
      </w:pPr>
      <w:r>
        <w:rPr>
          <w:rFonts w:ascii="Calibri" w:cs="Calibri" w:eastAsia="Calibri" w:hAnsi="Calibri"/>
          <w:b/>
          <w:bCs/>
          <w:color w:val="1F2933"/>
          <w:sz w:val="24"/>
          <w:szCs w:val="24"/>
        </w:rPr>
        <w:t xml:space="preserve">3.4 · Tintes, ceras y químicos — 256 refs (4,2 %)</w:t>
      </w:r>
    </w:p>
    <w:p>
      <w:pPr>
        <w:spacing w:after="180" w:line="276"/>
      </w:pPr>
      <w:r>
        <w:rPr>
          <w:rFonts w:ascii="Calibri" w:cs="Calibri" w:eastAsia="Calibri" w:hAnsi="Calibri"/>
          <w:color w:val="1F2933"/>
          <w:sz w:val="20"/>
          <w:szCs w:val="20"/>
        </w:rPr>
        <w:t xml:space="preserve">Es la familia que el sitio ya agrupa por caso de uso, no por producto: el modelo a replicar en el resto del catálogo.</w:t>
      </w:r>
    </w:p>
    <w:tbl>
      <w:tblPr>
        <w:tblW w:type="dxa" w:w="9360"/>
        <w:tblBorders>
          <w:top w:val="single" w:color="D9D2C7" w:sz="2"/>
          <w:left w:val="single" w:color="D9D2C7" w:sz="2"/>
          <w:bottom w:val="single" w:color="D9D2C7" w:sz="2"/>
          <w:right w:val="single" w:color="D9D2C7" w:sz="2"/>
          <w:insideH w:val="single" w:color="D9D2C7" w:sz="2"/>
          <w:insideV w:val="single" w:color="D9D2C7" w:sz="2"/>
        </w:tblBorders>
      </w:tblPr>
      <w:tblGrid>
        <w:gridCol w:w="1900"/>
        <w:gridCol w:w="6260"/>
        <w:gridCol w:w="1200"/>
      </w:tblGrid>
      <w:tr>
        <w:trPr>
          <w:tblHeader/>
        </w:trPr>
        <w:tc>
          <w:tcPr>
            <w:tcW w:type="dxa" w:w="1900"/>
            <w:shd w:fill="C05A17" w:color="auto" w:val="clear"/>
            <w:tcMar>
              <w:top w:type="dxa" w:w="60"/>
              <w:left w:type="dxa" w:w="110"/>
              <w:bottom w:type="dxa" w:w="60"/>
              <w:right w:type="dxa" w:w="110"/>
            </w:tcMar>
            <w:vAlign w:val="center"/>
          </w:tcPr>
          <w:p>
            <w:pPr>
              <w:spacing w:after="0" w:line="240"/>
              <w:jc w:val="left"/>
            </w:pPr>
            <w:r>
              <w:rPr>
                <w:rFonts w:ascii="Calibri" w:cs="Calibri" w:eastAsia="Calibri" w:hAnsi="Calibri"/>
                <w:b/>
                <w:bCs/>
                <w:color w:val="FFFFFF"/>
                <w:sz w:val="18"/>
                <w:szCs w:val="18"/>
              </w:rPr>
              <w:t xml:space="preserve">Enfoque</w:t>
            </w:r>
          </w:p>
        </w:tc>
        <w:tc>
          <w:tcPr>
            <w:tcW w:type="dxa" w:w="6260"/>
            <w:shd w:fill="C05A17" w:color="auto" w:val="clear"/>
            <w:tcMar>
              <w:top w:type="dxa" w:w="60"/>
              <w:left w:type="dxa" w:w="110"/>
              <w:bottom w:type="dxa" w:w="60"/>
              <w:right w:type="dxa" w:w="110"/>
            </w:tcMar>
            <w:vAlign w:val="center"/>
          </w:tcPr>
          <w:p>
            <w:pPr>
              <w:spacing w:after="0" w:line="240"/>
              <w:jc w:val="left"/>
            </w:pPr>
            <w:r>
              <w:rPr>
                <w:rFonts w:ascii="Calibri" w:cs="Calibri" w:eastAsia="Calibri" w:hAnsi="Calibri"/>
                <w:b/>
                <w:bCs/>
                <w:color w:val="FFFFFF"/>
                <w:sz w:val="18"/>
                <w:szCs w:val="18"/>
              </w:rPr>
              <w:t xml:space="preserve">Subcategorías</w:t>
            </w:r>
          </w:p>
        </w:tc>
        <w:tc>
          <w:tcPr>
            <w:tcW w:type="dxa" w:w="1200"/>
            <w:shd w:fill="C05A17" w:color="auto" w:val="clear"/>
            <w:tcMar>
              <w:top w:type="dxa" w:w="60"/>
              <w:left w:type="dxa" w:w="110"/>
              <w:bottom w:type="dxa" w:w="60"/>
              <w:right w:type="dxa" w:w="110"/>
            </w:tcMar>
            <w:vAlign w:val="center"/>
          </w:tcPr>
          <w:p>
            <w:pPr>
              <w:spacing w:after="0" w:line="240"/>
              <w:jc w:val="right"/>
            </w:pPr>
            <w:r>
              <w:rPr>
                <w:rFonts w:ascii="Calibri" w:cs="Calibri" w:eastAsia="Calibri" w:hAnsi="Calibri"/>
                <w:b/>
                <w:bCs/>
                <w:color w:val="FFFFFF"/>
                <w:sz w:val="18"/>
                <w:szCs w:val="18"/>
              </w:rPr>
              <w:t xml:space="preserve">Refs.</w:t>
            </w:r>
          </w:p>
        </w:tc>
      </w:tr>
      <w:tr>
        <w:trPr>
          <w:tblHeader w:val="false"/>
        </w:trPr>
        <w:tc>
          <w:tcPr>
            <w:tcW w:type="dxa" w:w="19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Por soporte</w:t>
            </w:r>
          </w:p>
        </w:tc>
        <w:tc>
          <w:tcPr>
            <w:tcW w:type="dxa" w:w="62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Cuero (48) · Cuero sintético (21) · Cuero regenerado (7) · Tejido (7) · Plástico (1)</w:t>
            </w:r>
          </w:p>
        </w:tc>
        <w:tc>
          <w:tcPr>
            <w:tcW w:type="dxa" w:w="12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84</w:t>
            </w:r>
          </w:p>
        </w:tc>
      </w:tr>
      <w:tr>
        <w:trPr>
          <w:tblHeader w:val="false"/>
        </w:trPr>
        <w:tc>
          <w:tcPr>
            <w:tcW w:type="dxa" w:w="19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Por función</w:t>
            </w:r>
          </w:p>
        </w:tc>
        <w:tc>
          <w:tcPr>
            <w:tcW w:type="dxa" w:w="62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Ceras de reparación (54) · Tintes de cantos, con y sin brillo (43) · Tintes cuero (21) · Limpiadores (7) · Pintura (7) · Protectores (2)</w:t>
            </w:r>
          </w:p>
        </w:tc>
        <w:tc>
          <w:tcPr>
            <w:tcW w:type="dxa" w:w="12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134</w:t>
            </w:r>
          </w:p>
        </w:tc>
      </w:tr>
      <w:tr>
        <w:trPr>
          <w:tblHeader w:val="false"/>
        </w:trPr>
        <w:tc>
          <w:tcPr>
            <w:tcW w:type="dxa" w:w="19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Por destino</w:t>
            </w:r>
          </w:p>
        </w:tc>
        <w:tc>
          <w:tcPr>
            <w:tcW w:type="dxa" w:w="62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Tapicería hogar · Tapicería automóvil: cuero auto (8), tejido auto (1) · Prendas de piel (1)</w:t>
            </w:r>
          </w:p>
        </w:tc>
        <w:tc>
          <w:tcPr>
            <w:tcW w:type="dxa" w:w="12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10</w:t>
            </w:r>
          </w:p>
        </w:tc>
      </w:tr>
      <w:tr>
        <w:trPr>
          <w:tblHeader w:val="false"/>
        </w:trPr>
        <w:tc>
          <w:tcPr>
            <w:tcW w:type="dxa" w:w="19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Empaquetado</w:t>
            </w:r>
          </w:p>
        </w:tc>
        <w:tc>
          <w:tcPr>
            <w:tcW w:type="dxa" w:w="626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Kits de cuidado (3) · Pack tintes</w:t>
            </w:r>
          </w:p>
        </w:tc>
        <w:tc>
          <w:tcPr>
            <w:tcW w:type="dxa" w:w="12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3</w:t>
            </w:r>
          </w:p>
        </w:tc>
      </w:tr>
      <w:tr>
        <w:trPr>
          <w:tblHeader w:val="false"/>
        </w:trPr>
        <w:tc>
          <w:tcPr>
            <w:tcW w:type="dxa" w:w="19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Sello verde</w:t>
            </w:r>
          </w:p>
        </w:tc>
        <w:tc>
          <w:tcPr>
            <w:tcW w:type="dxa" w:w="626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CANO ECO-GREEN — tinte base agua</w:t>
            </w:r>
          </w:p>
        </w:tc>
        <w:tc>
          <w:tcPr>
            <w:tcW w:type="dxa" w:w="12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13</w:t>
            </w:r>
          </w:p>
        </w:tc>
      </w:tr>
    </w:tbl>
    <w:p>
      <w:pPr>
        <w:spacing w:after="160"/>
      </w:pPr>
    </w:p>
    <w:p>
      <w:pPr>
        <w:spacing w:after="120" w:line="276"/>
      </w:pPr>
      <w:r>
        <w:rPr>
          <w:rFonts w:ascii="Calibri" w:cs="Calibri" w:eastAsia="Calibri" w:hAnsi="Calibri"/>
          <w:color w:val="1F2933"/>
          <w:sz w:val="20"/>
          <w:szCs w:val="20"/>
        </w:rPr>
        <w:t xml:space="preserve">Es también la familia de mayor ticket: mediana 5,22 € y máximo 671,21 €.</w:t>
      </w:r>
    </w:p>
    <w:p>
      <w:pPr>
        <w:pStyle w:val="Heading2"/>
        <w:spacing w:after="120" w:before="280"/>
      </w:pPr>
      <w:r>
        <w:rPr>
          <w:rFonts w:ascii="Calibri" w:cs="Calibri" w:eastAsia="Calibri" w:hAnsi="Calibri"/>
          <w:b/>
          <w:bCs/>
          <w:color w:val="1F2933"/>
          <w:sz w:val="24"/>
          <w:szCs w:val="24"/>
        </w:rPr>
        <w:t xml:space="preserve">3.5 · Herramientas y agujas — 487 refs (8,1 %)</w:t>
      </w:r>
    </w:p>
    <w:p>
      <w:pPr>
        <w:spacing w:after="160" w:line="276"/>
      </w:pPr>
      <w:r>
        <w:rPr>
          <w:rFonts w:ascii="Calibri" w:cs="Calibri" w:eastAsia="Calibri" w:hAnsi="Calibri"/>
          <w:color w:val="1F2933"/>
          <w:sz w:val="20"/>
          <w:szCs w:val="20"/>
        </w:rPr>
        <w:t xml:space="preserve">Se compran juntas, y por eso conviene tratarlas como un bloque «taller».</w:t>
      </w:r>
    </w:p>
    <w:p>
      <w:pPr>
        <w:spacing w:after="120" w:line="276"/>
      </w:pPr>
      <w:r>
        <w:rPr>
          <w:rFonts w:ascii="Calibri" w:cs="Calibri" w:eastAsia="Calibri" w:hAnsi="Calibri"/>
          <w:b/>
          <w:bCs/>
          <w:color w:val="1F2933"/>
          <w:sz w:val="20"/>
          <w:szCs w:val="20"/>
        </w:rPr>
        <w:t xml:space="preserve">Herramientas (345). </w:t>
      </w:r>
      <w:r>
        <w:rPr>
          <w:rFonts w:ascii="Calibri" w:cs="Calibri" w:eastAsia="Calibri" w:hAnsi="Calibri"/>
          <w:b w:val="false"/>
          <w:bCs w:val="false"/>
          <w:color w:val="1F2933"/>
          <w:sz w:val="20"/>
          <w:szCs w:val="20"/>
        </w:rPr>
        <w:t xml:space="preserve">Para lijar (63) · Pinceles (51) · Útiles (45) · Bolígrafos y marcadores (45) · Cuchillas y cutters (29) · Cepillos (25) · Remachadoras y maquinaria (16) · Tijeras (16) · Precisión (15) · Alicates y cortafríos (13) · Martillos (10) · Grapadoras (3) · Cardas de alambre (2).</w:t>
      </w:r>
    </w:p>
    <w:p>
      <w:pPr>
        <w:spacing w:after="120" w:line="276"/>
      </w:pPr>
      <w:r>
        <w:rPr>
          <w:rFonts w:ascii="Calibri" w:cs="Calibri" w:eastAsia="Calibri" w:hAnsi="Calibri"/>
          <w:b/>
          <w:bCs/>
          <w:color w:val="1F2933"/>
          <w:sz w:val="20"/>
          <w:szCs w:val="20"/>
        </w:rPr>
        <w:t xml:space="preserve">Agujas y leznas (142). </w:t>
      </w:r>
      <w:r>
        <w:rPr>
          <w:rFonts w:ascii="Calibri" w:cs="Calibri" w:eastAsia="Calibri" w:hAnsi="Calibri"/>
          <w:b w:val="false"/>
          <w:bCs w:val="false"/>
          <w:color w:val="1F2933"/>
          <w:sz w:val="20"/>
          <w:szCs w:val="20"/>
        </w:rPr>
        <w:t xml:space="preserve">Coser a máquina (61) · Coser a mano (28) · Leznas (28) · Máquina doméstica (15) · Máquina remallar (8). El catálogo ya las enlaza al hilo («PARA MARA 30», «PARA TERA 40»), que es la afinidad más valiosa de toda la tienda.</w:t>
      </w:r>
    </w:p>
    <w:p>
      <w:pPr>
        <w:spacing w:after="120" w:line="276"/>
      </w:pPr>
      <w:r>
        <w:rPr>
          <w:rFonts w:ascii="Calibri" w:cs="Calibri" w:eastAsia="Calibri" w:hAnsi="Calibri"/>
          <w:color w:val="1F2933"/>
          <w:sz w:val="20"/>
          <w:szCs w:val="20"/>
        </w:rPr>
        <w:t xml:space="preserve">El rango de precio es el más amplio del catálogo —de 0,36 € una aguja a 547,79 € de maquinaria—, así que conviven consumible y bien de equipo bajo la misma etiqueta.</w:t>
      </w:r>
    </w:p>
    <w:p>
      <w:pPr>
        <w:pStyle w:val="Heading2"/>
        <w:spacing w:after="120" w:before="280"/>
      </w:pPr>
      <w:r>
        <w:rPr>
          <w:rFonts w:ascii="Calibri" w:cs="Calibri" w:eastAsia="Calibri" w:hAnsi="Calibri"/>
          <w:b/>
          <w:bCs/>
          <w:color w:val="1F2933"/>
          <w:sz w:val="24"/>
          <w:szCs w:val="24"/>
        </w:rPr>
        <w:t xml:space="preserve">3.6 · Ferretería de marroquinería — 163 refs (2,7 %)</w:t>
      </w:r>
    </w:p>
    <w:p>
      <w:pPr>
        <w:spacing w:after="180" w:line="276"/>
      </w:pPr>
      <w:r>
        <w:rPr>
          <w:rFonts w:ascii="Calibri" w:cs="Calibri" w:eastAsia="Calibri" w:hAnsi="Calibri"/>
          <w:color w:val="1F2933"/>
          <w:sz w:val="20"/>
          <w:szCs w:val="20"/>
        </w:rPr>
        <w:t xml:space="preserve">Metal decorativo y de sujeción; se combinan entre sí en el mismo proyecto (bolso, cinturón, tapizado).</w:t>
      </w:r>
    </w:p>
    <w:tbl>
      <w:tblPr>
        <w:tblW w:type="dxa" w:w="9360"/>
        <w:tblBorders>
          <w:top w:val="single" w:color="D9D2C7" w:sz="2"/>
          <w:left w:val="single" w:color="D9D2C7" w:sz="2"/>
          <w:bottom w:val="single" w:color="D9D2C7" w:sz="2"/>
          <w:right w:val="single" w:color="D9D2C7" w:sz="2"/>
          <w:insideH w:val="single" w:color="D9D2C7" w:sz="2"/>
          <w:insideV w:val="single" w:color="D9D2C7" w:sz="2"/>
        </w:tblBorders>
      </w:tblPr>
      <w:tblGrid>
        <w:gridCol w:w="2500"/>
        <w:gridCol w:w="900"/>
        <w:gridCol w:w="2200"/>
        <w:gridCol w:w="900"/>
        <w:gridCol w:w="2000"/>
        <w:gridCol w:w="860"/>
      </w:tblGrid>
      <w:tr>
        <w:trPr>
          <w:tblHeader/>
        </w:trPr>
        <w:tc>
          <w:tcPr>
            <w:tcW w:type="dxa" w:w="2500"/>
            <w:shd w:fill="C05A17" w:color="auto" w:val="clear"/>
            <w:tcMar>
              <w:top w:type="dxa" w:w="60"/>
              <w:left w:type="dxa" w:w="110"/>
              <w:bottom w:type="dxa" w:w="60"/>
              <w:right w:type="dxa" w:w="110"/>
            </w:tcMar>
            <w:vAlign w:val="center"/>
          </w:tcPr>
          <w:p>
            <w:pPr>
              <w:spacing w:after="0" w:line="240"/>
              <w:jc w:val="left"/>
            </w:pPr>
            <w:r>
              <w:rPr>
                <w:rFonts w:ascii="Calibri" w:cs="Calibri" w:eastAsia="Calibri" w:hAnsi="Calibri"/>
                <w:b/>
                <w:bCs/>
                <w:color w:val="FFFFFF"/>
                <w:sz w:val="18"/>
                <w:szCs w:val="18"/>
              </w:rPr>
              <w:t xml:space="preserve">Fornituras (87)</w:t>
            </w:r>
          </w:p>
        </w:tc>
        <w:tc>
          <w:tcPr>
            <w:tcW w:type="dxa" w:w="900"/>
            <w:shd w:fill="C05A17" w:color="auto" w:val="clear"/>
            <w:tcMar>
              <w:top w:type="dxa" w:w="60"/>
              <w:left w:type="dxa" w:w="110"/>
              <w:bottom w:type="dxa" w:w="60"/>
              <w:right w:type="dxa" w:w="110"/>
            </w:tcMar>
            <w:vAlign w:val="center"/>
          </w:tcPr>
          <w:p>
            <w:pPr>
              <w:spacing w:after="0" w:line="240"/>
              <w:jc w:val="right"/>
            </w:pPr>
            <w:r>
              <w:rPr>
                <w:rFonts w:ascii="Calibri" w:cs="Calibri" w:eastAsia="Calibri" w:hAnsi="Calibri"/>
                <w:b/>
                <w:bCs/>
                <w:color w:val="FFFFFF"/>
                <w:sz w:val="18"/>
                <w:szCs w:val="18"/>
              </w:rPr>
              <w:t xml:space="preserve">Refs.</w:t>
            </w:r>
          </w:p>
        </w:tc>
        <w:tc>
          <w:tcPr>
            <w:tcW w:type="dxa" w:w="2200"/>
            <w:shd w:fill="C05A17" w:color="auto" w:val="clear"/>
            <w:tcMar>
              <w:top w:type="dxa" w:w="60"/>
              <w:left w:type="dxa" w:w="110"/>
              <w:bottom w:type="dxa" w:w="60"/>
              <w:right w:type="dxa" w:w="110"/>
            </w:tcMar>
            <w:vAlign w:val="center"/>
          </w:tcPr>
          <w:p>
            <w:pPr>
              <w:spacing w:after="0" w:line="240"/>
              <w:jc w:val="left"/>
            </w:pPr>
            <w:r>
              <w:rPr>
                <w:rFonts w:ascii="Calibri" w:cs="Calibri" w:eastAsia="Calibri" w:hAnsi="Calibri"/>
                <w:b/>
                <w:bCs/>
                <w:color w:val="FFFFFF"/>
                <w:sz w:val="18"/>
                <w:szCs w:val="18"/>
              </w:rPr>
              <w:t xml:space="preserve">Clavos y grapas (31)</w:t>
            </w:r>
          </w:p>
        </w:tc>
        <w:tc>
          <w:tcPr>
            <w:tcW w:type="dxa" w:w="900"/>
            <w:shd w:fill="C05A17" w:color="auto" w:val="clear"/>
            <w:tcMar>
              <w:top w:type="dxa" w:w="60"/>
              <w:left w:type="dxa" w:w="110"/>
              <w:bottom w:type="dxa" w:w="60"/>
              <w:right w:type="dxa" w:w="110"/>
            </w:tcMar>
            <w:vAlign w:val="center"/>
          </w:tcPr>
          <w:p>
            <w:pPr>
              <w:spacing w:after="0" w:line="240"/>
              <w:jc w:val="right"/>
            </w:pPr>
            <w:r>
              <w:rPr>
                <w:rFonts w:ascii="Calibri" w:cs="Calibri" w:eastAsia="Calibri" w:hAnsi="Calibri"/>
                <w:b/>
                <w:bCs/>
                <w:color w:val="FFFFFF"/>
                <w:sz w:val="18"/>
                <w:szCs w:val="18"/>
              </w:rPr>
              <w:t xml:space="preserve">Refs.</w:t>
            </w:r>
          </w:p>
        </w:tc>
        <w:tc>
          <w:tcPr>
            <w:tcW w:type="dxa" w:w="2000"/>
            <w:shd w:fill="C05A17" w:color="auto" w:val="clear"/>
            <w:tcMar>
              <w:top w:type="dxa" w:w="60"/>
              <w:left w:type="dxa" w:w="110"/>
              <w:bottom w:type="dxa" w:w="60"/>
              <w:right w:type="dxa" w:w="110"/>
            </w:tcMar>
            <w:vAlign w:val="center"/>
          </w:tcPr>
          <w:p>
            <w:pPr>
              <w:spacing w:after="0" w:line="240"/>
              <w:jc w:val="left"/>
            </w:pPr>
            <w:r>
              <w:rPr>
                <w:rFonts w:ascii="Calibri" w:cs="Calibri" w:eastAsia="Calibri" w:hAnsi="Calibri"/>
                <w:b/>
                <w:bCs/>
                <w:color w:val="FFFFFF"/>
                <w:sz w:val="18"/>
                <w:szCs w:val="18"/>
              </w:rPr>
              <w:t xml:space="preserve">Soportes (45)</w:t>
            </w:r>
          </w:p>
        </w:tc>
        <w:tc>
          <w:tcPr>
            <w:tcW w:type="dxa" w:w="860"/>
            <w:shd w:fill="C05A17" w:color="auto" w:val="clear"/>
            <w:tcMar>
              <w:top w:type="dxa" w:w="60"/>
              <w:left w:type="dxa" w:w="110"/>
              <w:bottom w:type="dxa" w:w="60"/>
              <w:right w:type="dxa" w:w="110"/>
            </w:tcMar>
            <w:vAlign w:val="center"/>
          </w:tcPr>
          <w:p>
            <w:pPr>
              <w:spacing w:after="0" w:line="240"/>
              <w:jc w:val="right"/>
            </w:pPr>
            <w:r>
              <w:rPr>
                <w:rFonts w:ascii="Calibri" w:cs="Calibri" w:eastAsia="Calibri" w:hAnsi="Calibri"/>
                <w:b/>
                <w:bCs/>
                <w:color w:val="FFFFFF"/>
                <w:sz w:val="18"/>
                <w:szCs w:val="18"/>
              </w:rPr>
              <w:t xml:space="preserve">Refs.</w:t>
            </w:r>
          </w:p>
        </w:tc>
      </w:tr>
      <w:tr>
        <w:trPr>
          <w:tblHeader w:val="false"/>
        </w:trPr>
        <w:tc>
          <w:tcPr>
            <w:tcW w:type="dxa" w:w="25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Hebillas</w:t>
            </w:r>
          </w:p>
        </w:tc>
        <w:tc>
          <w:tcPr>
            <w:tcW w:type="dxa" w:w="9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38</w:t>
            </w:r>
          </w:p>
        </w:tc>
        <w:tc>
          <w:tcPr>
            <w:tcW w:type="dxa" w:w="22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Clavos</w:t>
            </w:r>
          </w:p>
        </w:tc>
        <w:tc>
          <w:tcPr>
            <w:tcW w:type="dxa" w:w="9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16</w:t>
            </w:r>
          </w:p>
        </w:tc>
        <w:tc>
          <w:tcPr>
            <w:tcW w:type="dxa" w:w="20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Cintas adhesivas</w:t>
            </w:r>
          </w:p>
        </w:tc>
        <w:tc>
          <w:tcPr>
            <w:tcW w:type="dxa" w:w="86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36</w:t>
            </w:r>
          </w:p>
        </w:tc>
      </w:tr>
      <w:tr>
        <w:trPr>
          <w:tblHeader w:val="false"/>
        </w:trPr>
        <w:tc>
          <w:tcPr>
            <w:tcW w:type="dxa" w:w="25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Adornos</w:t>
            </w:r>
          </w:p>
        </w:tc>
        <w:tc>
          <w:tcPr>
            <w:tcW w:type="dxa" w:w="9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20</w:t>
            </w:r>
          </w:p>
        </w:tc>
        <w:tc>
          <w:tcPr>
            <w:tcW w:type="dxa" w:w="22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Grapas</w:t>
            </w:r>
          </w:p>
        </w:tc>
        <w:tc>
          <w:tcPr>
            <w:tcW w:type="dxa" w:w="9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7</w:t>
            </w:r>
          </w:p>
        </w:tc>
        <w:tc>
          <w:tcPr>
            <w:tcW w:type="dxa" w:w="20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Tiras de cuero por metros</w:t>
            </w:r>
          </w:p>
        </w:tc>
        <w:tc>
          <w:tcPr>
            <w:tcW w:type="dxa" w:w="86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5</w:t>
            </w:r>
          </w:p>
        </w:tc>
      </w:tr>
      <w:tr>
        <w:trPr>
          <w:tblHeader w:val="false"/>
        </w:trPr>
        <w:tc>
          <w:tcPr>
            <w:tcW w:type="dxa" w:w="25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Anillas</w:t>
            </w:r>
          </w:p>
        </w:tc>
        <w:tc>
          <w:tcPr>
            <w:tcW w:type="dxa" w:w="9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10</w:t>
            </w:r>
          </w:p>
        </w:tc>
        <w:tc>
          <w:tcPr>
            <w:tcW w:type="dxa" w:w="22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Tachuelas</w:t>
            </w:r>
          </w:p>
        </w:tc>
        <w:tc>
          <w:tcPr>
            <w:tcW w:type="dxa" w:w="9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6</w:t>
            </w:r>
          </w:p>
        </w:tc>
        <w:tc>
          <w:tcPr>
            <w:tcW w:type="dxa" w:w="20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Rellenos/refuerzos asas</w:t>
            </w:r>
          </w:p>
        </w:tc>
        <w:tc>
          <w:tcPr>
            <w:tcW w:type="dxa" w:w="86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3</w:t>
            </w:r>
          </w:p>
        </w:tc>
      </w:tr>
      <w:tr>
        <w:trPr>
          <w:tblHeader w:val="false"/>
        </w:trPr>
        <w:tc>
          <w:tcPr>
            <w:tcW w:type="dxa" w:w="25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Broches y cierres</w:t>
            </w:r>
          </w:p>
        </w:tc>
        <w:tc>
          <w:tcPr>
            <w:tcW w:type="dxa" w:w="9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4</w:t>
            </w:r>
          </w:p>
        </w:tc>
        <w:tc>
          <w:tcPr>
            <w:tcW w:type="dxa" w:w="22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
            </w:r>
          </w:p>
        </w:tc>
        <w:tc>
          <w:tcPr>
            <w:tcW w:type="dxa" w:w="9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
            </w:r>
          </w:p>
        </w:tc>
        <w:tc>
          <w:tcPr>
            <w:tcW w:type="dxa" w:w="20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
            </w:r>
          </w:p>
        </w:tc>
        <w:tc>
          <w:tcPr>
            <w:tcW w:type="dxa" w:w="86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
            </w:r>
          </w:p>
        </w:tc>
      </w:tr>
      <w:tr>
        <w:trPr>
          <w:tblHeader w:val="false"/>
        </w:trPr>
        <w:tc>
          <w:tcPr>
            <w:tcW w:type="dxa" w:w="25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Cadenas</w:t>
            </w:r>
          </w:p>
        </w:tc>
        <w:tc>
          <w:tcPr>
            <w:tcW w:type="dxa" w:w="9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4</w:t>
            </w:r>
          </w:p>
        </w:tc>
        <w:tc>
          <w:tcPr>
            <w:tcW w:type="dxa" w:w="22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
            </w:r>
          </w:p>
        </w:tc>
        <w:tc>
          <w:tcPr>
            <w:tcW w:type="dxa" w:w="90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
            </w:r>
          </w:p>
        </w:tc>
        <w:tc>
          <w:tcPr>
            <w:tcW w:type="dxa" w:w="2000"/>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
            </w:r>
          </w:p>
        </w:tc>
        <w:tc>
          <w:tcPr>
            <w:tcW w:type="dxa" w:w="860"/>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
            </w:r>
          </w:p>
        </w:tc>
      </w:tr>
      <w:tr>
        <w:trPr>
          <w:tblHeader w:val="false"/>
        </w:trPr>
        <w:tc>
          <w:tcPr>
            <w:tcW w:type="dxa" w:w="25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Adorno con clavo</w:t>
            </w:r>
          </w:p>
        </w:tc>
        <w:tc>
          <w:tcPr>
            <w:tcW w:type="dxa" w:w="9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4</w:t>
            </w:r>
          </w:p>
        </w:tc>
        <w:tc>
          <w:tcPr>
            <w:tcW w:type="dxa" w:w="22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
            </w:r>
          </w:p>
        </w:tc>
        <w:tc>
          <w:tcPr>
            <w:tcW w:type="dxa" w:w="90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
            </w:r>
          </w:p>
        </w:tc>
        <w:tc>
          <w:tcPr>
            <w:tcW w:type="dxa" w:w="2000"/>
            <w:shd w:fill="F4F1EC" w:color="auto" w:val="clear"/>
            <w:tcMar>
              <w:top w:type="dxa" w:w="60"/>
              <w:left w:type="dxa" w:w="110"/>
              <w:bottom w:type="dxa" w:w="60"/>
              <w:right w:type="dxa" w:w="110"/>
            </w:tcMar>
            <w:vAlign w:val="center"/>
          </w:tcPr>
          <w:p>
            <w:pPr>
              <w:spacing w:after="0" w:line="240"/>
              <w:jc w:val="left"/>
            </w:pPr>
            <w:r>
              <w:rPr>
                <w:rFonts w:ascii="Calibri" w:cs="Calibri" w:eastAsia="Calibri" w:hAnsi="Calibri"/>
                <w:b w:val="false"/>
                <w:bCs w:val="false"/>
                <w:color w:val="1F2933"/>
                <w:sz w:val="18"/>
                <w:szCs w:val="18"/>
              </w:rPr>
              <w:t xml:space="preserve"/>
            </w:r>
          </w:p>
        </w:tc>
        <w:tc>
          <w:tcPr>
            <w:tcW w:type="dxa" w:w="860"/>
            <w:shd w:fill="F4F1EC" w:color="auto" w:val="clear"/>
            <w:tcMar>
              <w:top w:type="dxa" w:w="60"/>
              <w:left w:type="dxa" w:w="110"/>
              <w:bottom w:type="dxa" w:w="60"/>
              <w:right w:type="dxa" w:w="110"/>
            </w:tcMar>
            <w:vAlign w:val="center"/>
          </w:tcPr>
          <w:p>
            <w:pPr>
              <w:spacing w:after="0" w:line="240"/>
              <w:jc w:val="right"/>
            </w:pPr>
            <w:r>
              <w:rPr>
                <w:rFonts w:ascii="Calibri" w:cs="Calibri" w:eastAsia="Calibri" w:hAnsi="Calibri"/>
                <w:b w:val="false"/>
                <w:bCs w:val="false"/>
                <w:color w:val="1F2933"/>
                <w:sz w:val="18"/>
                <w:szCs w:val="18"/>
              </w:rPr>
              <w:t xml:space="preserve"/>
            </w:r>
          </w:p>
        </w:tc>
      </w:tr>
    </w:tbl>
    <w:p>
      <w:pPr>
        <w:spacing w:after="140"/>
      </w:pPr>
    </w:p>
    <w:p>
      <w:pPr>
        <w:pStyle w:val="Heading2"/>
        <w:spacing w:after="120" w:before="280"/>
      </w:pPr>
      <w:r>
        <w:rPr>
          <w:rFonts w:ascii="Calibri" w:cs="Calibri" w:eastAsia="Calibri" w:hAnsi="Calibri"/>
          <w:b/>
          <w:bCs/>
          <w:color w:val="1F2933"/>
          <w:sz w:val="24"/>
          <w:szCs w:val="24"/>
        </w:rPr>
        <w:t xml:space="preserve">3.7 · Consumible de taller — 135 refs (2,2 %)</w:t>
      </w:r>
    </w:p>
    <w:p>
      <w:pPr>
        <w:spacing w:after="120" w:line="276"/>
      </w:pPr>
      <w:r>
        <w:rPr>
          <w:rFonts w:ascii="Calibri" w:cs="Calibri" w:eastAsia="Calibri" w:hAnsi="Calibri"/>
          <w:color w:val="1F2933"/>
          <w:sz w:val="20"/>
          <w:szCs w:val="20"/>
        </w:rPr>
        <w:t xml:space="preserve">No es producto de creación sino de operación del taller. Alto ticket relativo (mediana 9,94 €): pistola y navetes (24) · bolsas (16) · precintos y film (15) · guantes (13) · gomas (12) · carretes (10) · recipientes (8) · canastas y cubetas (8) · pernitos (7) · mascarillas y EPI (13) · adhesivos y cianocrilato (5).</w:t>
      </w:r>
    </w:p>
    <w:p>
      <w:pPr>
        <w:pStyle w:val="Heading2"/>
        <w:spacing w:after="120" w:before="280"/>
      </w:pPr>
      <w:r>
        <w:rPr>
          <w:rFonts w:ascii="Calibri" w:cs="Calibri" w:eastAsia="Calibri" w:hAnsi="Calibri"/>
          <w:b/>
          <w:bCs/>
          <w:color w:val="1F2933"/>
          <w:sz w:val="24"/>
          <w:szCs w:val="24"/>
        </w:rPr>
        <w:t xml:space="preserve">3.8 · Outlet y liquidación — 102 refs (1,7 %)</w:t>
      </w:r>
    </w:p>
    <w:p>
      <w:pPr>
        <w:spacing w:after="120" w:line="276"/>
      </w:pPr>
      <w:r>
        <w:rPr>
          <w:rFonts w:ascii="Calibri" w:cs="Calibri" w:eastAsia="Calibri" w:hAnsi="Calibri"/>
          <w:color w:val="1F2933"/>
          <w:sz w:val="20"/>
          <w:szCs w:val="20"/>
        </w:rPr>
        <w:t xml:space="preserve">Réplica reducida del catálogo principal con precio agresivo (mediana 1,29 €): fornituras y abalorios (39) · tintes para cuero (34) · hilos (24) · pasamanerías (2) · lotes de saldo (2) · cremallera continua.</w:t>
      </w:r>
    </w:p>
    <w:p>
      <w:r>
        <w:br w:type="page"/>
      </w:r>
    </w:p>
    <w:p>
      <w:pPr>
        <w:pStyle w:val="Heading1"/>
        <w:spacing w:after="160" w:before="380"/>
      </w:pPr>
      <w:r>
        <w:rPr>
          <w:rFonts w:ascii="Calibri" w:cs="Calibri" w:eastAsia="Calibri" w:hAnsi="Calibri"/>
          <w:b/>
          <w:bCs/>
          <w:color w:val="C05A17"/>
          <w:sz w:val="30"/>
          <w:szCs w:val="30"/>
        </w:rPr>
        <w:t xml:space="preserve">4. Combinaciones afines transversales</w:t>
      </w:r>
    </w:p>
    <w:p>
      <w:pPr>
        <w:spacing w:after="220" w:line="276"/>
      </w:pPr>
      <w:r>
        <w:rPr>
          <w:rFonts w:ascii="Calibri" w:cs="Calibri" w:eastAsia="Calibri" w:hAnsi="Calibri"/>
          <w:color w:val="1F2933"/>
          <w:sz w:val="20"/>
          <w:szCs w:val="20"/>
        </w:rPr>
        <w:t xml:space="preserve">El árbol de la web está organizado por tipo de material. Cruzando las familias por caso de uso aparecen seis conjuntos naturales de venta combinada, que es donde está el margen incremental.</w:t>
      </w:r>
    </w:p>
    <w:p>
      <w:pPr>
        <w:pStyle w:val="Heading3"/>
        <w:spacing w:after="100" w:before="220"/>
      </w:pPr>
      <w:r>
        <w:rPr>
          <w:rFonts w:ascii="Calibri" w:cs="Calibri" w:eastAsia="Calibri" w:hAnsi="Calibri"/>
          <w:b/>
          <w:bCs/>
          <w:color w:val="C05A17"/>
          <w:sz w:val="21"/>
          <w:szCs w:val="21"/>
        </w:rPr>
        <w:t xml:space="preserve">A · Kit marroquinería a mano (cuero)</w:t>
      </w:r>
    </w:p>
    <w:p>
      <w:pPr>
        <w:spacing w:after="80" w:line="276"/>
      </w:pPr>
      <w:r>
        <w:rPr>
          <w:rFonts w:ascii="Calibri" w:cs="Calibri" w:eastAsia="Calibri" w:hAnsi="Calibri"/>
          <w:color w:val="1F2933"/>
          <w:sz w:val="20"/>
          <w:szCs w:val="20"/>
        </w:rPr>
        <w:t xml:space="preserve">Hilo encerado + cordón semiencerado 2–3 mm + agujas curvas y de tres filos + leznas + tintes de cantos (con y sin brillo) + ceras de reparación + hebillas, anillas y broches + cianocrilato.</w:t>
      </w:r>
    </w:p>
    <w:p>
      <w:pPr>
        <w:spacing w:after="200" w:line="276"/>
      </w:pPr>
      <w:r>
        <w:rPr>
          <w:rFonts w:ascii="Calibri" w:cs="Calibri" w:eastAsia="Calibri" w:hAnsi="Calibri"/>
          <w:b/>
          <w:bCs/>
          <w:color w:val="1F2933"/>
          <w:sz w:val="20"/>
          <w:szCs w:val="20"/>
        </w:rPr>
        <w:t xml:space="preserve">→ </w:t>
      </w:r>
      <w:r>
        <w:rPr>
          <w:rFonts w:ascii="Calibri" w:cs="Calibri" w:eastAsia="Calibri" w:hAnsi="Calibri"/>
          <w:b/>
          <w:bCs/>
          <w:color w:val="1F2933"/>
          <w:sz w:val="20"/>
          <w:szCs w:val="20"/>
        </w:rPr>
        <w:t xml:space="preserve">~350 refs</w:t>
      </w:r>
      <w:r>
        <w:rPr>
          <w:rFonts w:ascii="Calibri" w:cs="Calibri" w:eastAsia="Calibri" w:hAnsi="Calibri"/>
          <w:b w:val="false"/>
          <w:bCs w:val="false"/>
          <w:color w:val="1F2933"/>
          <w:sz w:val="20"/>
          <w:szCs w:val="20"/>
        </w:rPr>
        <w:t xml:space="preserve">. </w:t>
      </w:r>
      <w:r>
        <w:rPr>
          <w:rFonts w:ascii="Calibri" w:cs="Calibri" w:eastAsia="Calibri" w:hAnsi="Calibri"/>
          <w:b w:val="false"/>
          <w:bCs w:val="false"/>
          <w:color w:val="1F2933"/>
          <w:sz w:val="20"/>
          <w:szCs w:val="20"/>
        </w:rPr>
        <w:t xml:space="preserve">Es el perfil de cliente artesano; hoy tiene que recorrer seis menús distintos.</w:t>
      </w:r>
    </w:p>
    <w:p>
      <w:pPr>
        <w:pStyle w:val="Heading3"/>
        <w:spacing w:after="100" w:before="220"/>
      </w:pPr>
      <w:r>
        <w:rPr>
          <w:rFonts w:ascii="Calibri" w:cs="Calibri" w:eastAsia="Calibri" w:hAnsi="Calibri"/>
          <w:b/>
          <w:bCs/>
          <w:color w:val="C05A17"/>
          <w:sz w:val="21"/>
          <w:szCs w:val="21"/>
        </w:rPr>
        <w:t xml:space="preserve">B · Kit tapicería y restauración de sofá</w:t>
      </w:r>
    </w:p>
    <w:p>
      <w:pPr>
        <w:spacing w:after="80" w:line="276"/>
      </w:pPr>
      <w:r>
        <w:rPr>
          <w:rFonts w:ascii="Calibri" w:cs="Calibri" w:eastAsia="Calibri" w:hAnsi="Calibri"/>
          <w:color w:val="1F2933"/>
          <w:sz w:val="20"/>
          <w:szCs w:val="20"/>
        </w:rPr>
        <w:t xml:space="preserve">Mara 11 / Mara 30 + agujas curvas + clavos, grapas y tachuelas + martillos + grapadoras + cintas adhesivas + tintes y ceras para cuero y tejido + cuero regenerado.</w:t>
      </w:r>
    </w:p>
    <w:p>
      <w:pPr>
        <w:spacing w:after="200" w:line="276"/>
      </w:pPr>
      <w:r>
        <w:rPr>
          <w:rFonts w:ascii="Calibri" w:cs="Calibri" w:eastAsia="Calibri" w:hAnsi="Calibri"/>
          <w:b/>
          <w:bCs/>
          <w:color w:val="1F2933"/>
          <w:sz w:val="20"/>
          <w:szCs w:val="20"/>
        </w:rPr>
        <w:t xml:space="preserve">→ </w:t>
      </w:r>
      <w:r>
        <w:rPr>
          <w:rFonts w:ascii="Calibri" w:cs="Calibri" w:eastAsia="Calibri" w:hAnsi="Calibri"/>
          <w:b/>
          <w:bCs/>
          <w:color w:val="1F2933"/>
          <w:sz w:val="20"/>
          <w:szCs w:val="20"/>
        </w:rPr>
        <w:t xml:space="preserve">~700 refs</w:t>
      </w:r>
      <w:r>
        <w:rPr>
          <w:rFonts w:ascii="Calibri" w:cs="Calibri" w:eastAsia="Calibri" w:hAnsi="Calibri"/>
          <w:b w:val="false"/>
          <w:bCs w:val="false"/>
          <w:color w:val="1F2933"/>
          <w:sz w:val="20"/>
          <w:szCs w:val="20"/>
        </w:rPr>
        <w:t xml:space="preserve">. </w:t>
      </w:r>
      <w:r>
        <w:rPr>
          <w:rFonts w:ascii="Calibri" w:cs="Calibri" w:eastAsia="Calibri" w:hAnsi="Calibri"/>
          <w:b w:val="false"/>
          <w:bCs w:val="false"/>
          <w:color w:val="1F2933"/>
          <w:sz w:val="20"/>
          <w:szCs w:val="20"/>
        </w:rPr>
        <w:t xml:space="preserve">La web ya lo intuye con la landing «Restaura tu sofá».</w:t>
      </w:r>
    </w:p>
    <w:p>
      <w:pPr>
        <w:pStyle w:val="Heading3"/>
        <w:spacing w:after="100" w:before="220"/>
      </w:pPr>
      <w:r>
        <w:rPr>
          <w:rFonts w:ascii="Calibri" w:cs="Calibri" w:eastAsia="Calibri" w:hAnsi="Calibri"/>
          <w:b/>
          <w:bCs/>
          <w:color w:val="C05A17"/>
          <w:sz w:val="21"/>
          <w:szCs w:val="21"/>
        </w:rPr>
        <w:t xml:space="preserve">C · Kit confección de bolsos y mochilas</w:t>
      </w:r>
    </w:p>
    <w:p>
      <w:pPr>
        <w:spacing w:after="80" w:line="276"/>
      </w:pPr>
      <w:r>
        <w:rPr>
          <w:rFonts w:ascii="Calibri" w:cs="Calibri" w:eastAsia="Calibri" w:hAnsi="Calibri"/>
          <w:color w:val="1F2933"/>
          <w:sz w:val="20"/>
          <w:szCs w:val="20"/>
        </w:rPr>
        <w:t xml:space="preserve">Pack para Bolsos + cremallera continua maya 5 con cursores + cinta mochila + cinta bies + rellenos y refuerzos para asas + tiras de cuero por metros + mosquetones y anillas + Mara 70.</w:t>
      </w:r>
    </w:p>
    <w:p>
      <w:pPr>
        <w:spacing w:after="200" w:line="276"/>
      </w:pPr>
      <w:r>
        <w:rPr>
          <w:rFonts w:ascii="Calibri" w:cs="Calibri" w:eastAsia="Calibri" w:hAnsi="Calibri"/>
          <w:b/>
          <w:bCs/>
          <w:color w:val="1F2933"/>
          <w:sz w:val="20"/>
          <w:szCs w:val="20"/>
        </w:rPr>
        <w:t xml:space="preserve">→ </w:t>
      </w:r>
      <w:r>
        <w:rPr>
          <w:rFonts w:ascii="Calibri" w:cs="Calibri" w:eastAsia="Calibri" w:hAnsi="Calibri"/>
          <w:b/>
          <w:bCs/>
          <w:color w:val="1F2933"/>
          <w:sz w:val="20"/>
          <w:szCs w:val="20"/>
        </w:rPr>
        <w:t xml:space="preserve">~400 refs</w:t>
      </w:r>
      <w:r>
        <w:rPr>
          <w:rFonts w:ascii="Calibri" w:cs="Calibri" w:eastAsia="Calibri" w:hAnsi="Calibri"/>
          <w:b w:val="false"/>
          <w:bCs w:val="false"/>
          <w:color w:val="1F2933"/>
          <w:sz w:val="20"/>
          <w:szCs w:val="20"/>
        </w:rPr>
        <w:t xml:space="preserve">. </w:t>
      </w:r>
      <w:r>
        <w:rPr>
          <w:rFonts w:ascii="Calibri" w:cs="Calibri" w:eastAsia="Calibri" w:hAnsi="Calibri"/>
          <w:b w:val="false"/>
          <w:bCs w:val="false"/>
          <w:color w:val="1F2933"/>
          <w:sz w:val="20"/>
          <w:szCs w:val="20"/>
        </w:rPr>
        <w:t xml:space="preserve">La combinación mejor resuelta ya en producto: el Pack para Bolsos de 6,65 €.</w:t>
      </w:r>
    </w:p>
    <w:p>
      <w:pPr>
        <w:pStyle w:val="Heading3"/>
        <w:spacing w:after="100" w:before="220"/>
      </w:pPr>
      <w:r>
        <w:rPr>
          <w:rFonts w:ascii="Calibri" w:cs="Calibri" w:eastAsia="Calibri" w:hAnsi="Calibri"/>
          <w:b/>
          <w:bCs/>
          <w:color w:val="C05A17"/>
          <w:sz w:val="21"/>
          <w:szCs w:val="21"/>
        </w:rPr>
        <w:t xml:space="preserve">D · Kit costura técnica / industrial</w:t>
      </w:r>
    </w:p>
    <w:p>
      <w:pPr>
        <w:spacing w:after="80" w:line="276"/>
      </w:pPr>
      <w:r>
        <w:rPr>
          <w:rFonts w:ascii="Calibri" w:cs="Calibri" w:eastAsia="Calibri" w:hAnsi="Calibri"/>
          <w:color w:val="1F2933"/>
          <w:sz w:val="20"/>
          <w:szCs w:val="20"/>
        </w:rPr>
        <w:t xml:space="preserve">Tera o Serafil del mismo grosor + agujas de máquina 134/135 + hilo overlock + agujas de remalladora + carretes + tijeras profesionales.</w:t>
      </w:r>
    </w:p>
    <w:p>
      <w:pPr>
        <w:spacing w:after="200" w:line="276"/>
      </w:pPr>
      <w:r>
        <w:rPr>
          <w:rFonts w:ascii="Calibri" w:cs="Calibri" w:eastAsia="Calibri" w:hAnsi="Calibri"/>
          <w:b/>
          <w:bCs/>
          <w:color w:val="1F2933"/>
          <w:sz w:val="20"/>
          <w:szCs w:val="20"/>
        </w:rPr>
        <w:t xml:space="preserve">→ </w:t>
      </w:r>
      <w:r>
        <w:rPr>
          <w:rFonts w:ascii="Calibri" w:cs="Calibri" w:eastAsia="Calibri" w:hAnsi="Calibri"/>
          <w:b/>
          <w:bCs/>
          <w:color w:val="1F2933"/>
          <w:sz w:val="20"/>
          <w:szCs w:val="20"/>
        </w:rPr>
        <w:t xml:space="preserve">~2.400 refs</w:t>
      </w:r>
      <w:r>
        <w:rPr>
          <w:rFonts w:ascii="Calibri" w:cs="Calibri" w:eastAsia="Calibri" w:hAnsi="Calibri"/>
          <w:b w:val="false"/>
          <w:bCs w:val="false"/>
          <w:color w:val="1F2933"/>
          <w:sz w:val="20"/>
          <w:szCs w:val="20"/>
        </w:rPr>
        <w:t xml:space="preserve">. </w:t>
      </w:r>
      <w:r>
        <w:rPr>
          <w:rFonts w:ascii="Calibri" w:cs="Calibri" w:eastAsia="Calibri" w:hAnsi="Calibri"/>
          <w:b w:val="false"/>
          <w:bCs w:val="false"/>
          <w:color w:val="1F2933"/>
          <w:sz w:val="20"/>
          <w:szCs w:val="20"/>
        </w:rPr>
        <w:t xml:space="preserve">La clave es el emparejamiento grosor de hilo ↔ referencia de aguja, que el sitio ya modela en las categorías «PARA MARA xx» y «PARA TERA xx».</w:t>
      </w:r>
    </w:p>
    <w:p>
      <w:pPr>
        <w:pStyle w:val="Heading3"/>
        <w:spacing w:after="100" w:before="220"/>
      </w:pPr>
      <w:r>
        <w:rPr>
          <w:rFonts w:ascii="Calibri" w:cs="Calibri" w:eastAsia="Calibri" w:hAnsi="Calibri"/>
          <w:b/>
          <w:bCs/>
          <w:color w:val="C05A17"/>
          <w:sz w:val="21"/>
          <w:szCs w:val="21"/>
        </w:rPr>
        <w:t xml:space="preserve">E · Kit bordado a máquina</w:t>
      </w:r>
    </w:p>
    <w:p>
      <w:pPr>
        <w:spacing w:after="80" w:line="276"/>
      </w:pPr>
      <w:r>
        <w:rPr>
          <w:rFonts w:ascii="Calibri" w:cs="Calibri" w:eastAsia="Calibri" w:hAnsi="Calibri"/>
          <w:color w:val="1F2933"/>
          <w:sz w:val="20"/>
          <w:szCs w:val="20"/>
        </w:rPr>
        <w:t xml:space="preserve">Isacord 40 / Isamet 40 + packs de 5, 10, 20, 30 o 50 bobinas + entretela de bordar + agujas de bordar.</w:t>
      </w:r>
    </w:p>
    <w:p>
      <w:pPr>
        <w:spacing w:after="200" w:line="276"/>
      </w:pPr>
      <w:r>
        <w:rPr>
          <w:rFonts w:ascii="Calibri" w:cs="Calibri" w:eastAsia="Calibri" w:hAnsi="Calibri"/>
          <w:b/>
          <w:bCs/>
          <w:color w:val="1F2933"/>
          <w:sz w:val="20"/>
          <w:szCs w:val="20"/>
        </w:rPr>
        <w:t xml:space="preserve">→ </w:t>
      </w:r>
      <w:r>
        <w:rPr>
          <w:rFonts w:ascii="Calibri" w:cs="Calibri" w:eastAsia="Calibri" w:hAnsi="Calibri"/>
          <w:b/>
          <w:bCs/>
          <w:color w:val="1F2933"/>
          <w:sz w:val="20"/>
          <w:szCs w:val="20"/>
        </w:rPr>
        <w:t xml:space="preserve">~160 refs</w:t>
      </w:r>
      <w:r>
        <w:rPr>
          <w:rFonts w:ascii="Calibri" w:cs="Calibri" w:eastAsia="Calibri" w:hAnsi="Calibri"/>
          <w:b w:val="false"/>
          <w:bCs w:val="false"/>
          <w:color w:val="1F2933"/>
          <w:sz w:val="20"/>
          <w:szCs w:val="20"/>
        </w:rPr>
        <w:t xml:space="preserve">. </w:t>
      </w:r>
      <w:r>
        <w:rPr>
          <w:rFonts w:ascii="Calibri" w:cs="Calibri" w:eastAsia="Calibri" w:hAnsi="Calibri"/>
          <w:b w:val="false"/>
          <w:bCs w:val="false"/>
          <w:color w:val="1F2933"/>
          <w:sz w:val="20"/>
          <w:szCs w:val="20"/>
        </w:rPr>
        <w:t xml:space="preserve">Única familia con packs por gama de color: Essential, Multicolor, Pastel, Metalizados y Fluor.</w:t>
      </w:r>
    </w:p>
    <w:p>
      <w:pPr>
        <w:pStyle w:val="Heading3"/>
        <w:spacing w:after="100" w:before="220"/>
      </w:pPr>
      <w:r>
        <w:rPr>
          <w:rFonts w:ascii="Calibri" w:cs="Calibri" w:eastAsia="Calibri" w:hAnsi="Calibri"/>
          <w:b/>
          <w:bCs/>
          <w:color w:val="C05A17"/>
          <w:sz w:val="21"/>
          <w:szCs w:val="21"/>
        </w:rPr>
        <w:t xml:space="preserve">F · Kit acabado y decoración</w:t>
      </w:r>
    </w:p>
    <w:p>
      <w:pPr>
        <w:spacing w:after="80" w:line="276"/>
      </w:pPr>
      <w:r>
        <w:rPr>
          <w:rFonts w:ascii="Calibri" w:cs="Calibri" w:eastAsia="Calibri" w:hAnsi="Calibri"/>
          <w:color w:val="1F2933"/>
          <w:sz w:val="20"/>
          <w:szCs w:val="20"/>
        </w:rPr>
        <w:t xml:space="preserve">Cinta de raso + cinta faya + cola de ratón + velcro + elásticos + adornos + cadenas.</w:t>
      </w:r>
    </w:p>
    <w:p>
      <w:pPr>
        <w:spacing w:after="200" w:line="276"/>
      </w:pPr>
      <w:r>
        <w:rPr>
          <w:rFonts w:ascii="Calibri" w:cs="Calibri" w:eastAsia="Calibri" w:hAnsi="Calibri"/>
          <w:b/>
          <w:bCs/>
          <w:color w:val="1F2933"/>
          <w:sz w:val="20"/>
          <w:szCs w:val="20"/>
        </w:rPr>
        <w:t xml:space="preserve">→ </w:t>
      </w:r>
      <w:r>
        <w:rPr>
          <w:rFonts w:ascii="Calibri" w:cs="Calibri" w:eastAsia="Calibri" w:hAnsi="Calibri"/>
          <w:b/>
          <w:bCs/>
          <w:color w:val="1F2933"/>
          <w:sz w:val="20"/>
          <w:szCs w:val="20"/>
        </w:rPr>
        <w:t xml:space="preserve">~500 refs</w:t>
      </w:r>
      <w:r>
        <w:rPr>
          <w:rFonts w:ascii="Calibri" w:cs="Calibri" w:eastAsia="Calibri" w:hAnsi="Calibri"/>
          <w:b w:val="false"/>
          <w:bCs w:val="false"/>
          <w:color w:val="1F2933"/>
          <w:sz w:val="20"/>
          <w:szCs w:val="20"/>
        </w:rPr>
        <w:t xml:space="preserve">. </w:t>
      </w:r>
      <w:r>
        <w:rPr>
          <w:rFonts w:ascii="Calibri" w:cs="Calibri" w:eastAsia="Calibri" w:hAnsi="Calibri"/>
          <w:b w:val="false"/>
          <w:bCs w:val="false"/>
          <w:color w:val="1F2933"/>
          <w:sz w:val="20"/>
          <w:szCs w:val="20"/>
        </w:rPr>
        <w:t xml:space="preserve">Ticket unitario muy bajo (0,42 € de mediana): sólo funciona en bundle o con pedido mínimo.</w:t>
      </w:r>
    </w:p>
    <w:p>
      <w:r>
        <w:br w:type="page"/>
      </w:r>
    </w:p>
    <w:p>
      <w:pPr>
        <w:pStyle w:val="Heading1"/>
        <w:spacing w:after="160" w:before="380"/>
      </w:pPr>
      <w:r>
        <w:rPr>
          <w:rFonts w:ascii="Calibri" w:cs="Calibri" w:eastAsia="Calibri" w:hAnsi="Calibri"/>
          <w:b/>
          <w:bCs/>
          <w:color w:val="C05A17"/>
          <w:sz w:val="30"/>
          <w:szCs w:val="30"/>
        </w:rPr>
        <w:t xml:space="preserve">5. Observaciones sobre la estructura del catálogo</w:t>
      </w:r>
    </w:p>
    <w:p>
      <w:pPr>
        <w:pStyle w:val="ListParagraph"/>
        <w:numPr>
          <w:ilvl w:val="0"/>
          <w:numId w:val="3"/>
        </w:numPr>
        <w:spacing w:after="100" w:line="276"/>
      </w:pPr>
      <w:r>
        <w:rPr>
          <w:rFonts w:ascii="Calibri" w:cs="Calibri" w:eastAsia="Calibri" w:hAnsi="Calibri"/>
          <w:color w:val="1F2933"/>
          <w:sz w:val="20"/>
          <w:szCs w:val="20"/>
        </w:rPr>
        <w:t xml:space="preserve">Concentración extrema. El 64 % de las referencias son hilo y el 33 % son sólo tres gamas (Mara, Tera y Serafil). Cualquier análisis de surtido debe tratar el hilo como un eje aparte.</w:t>
      </w:r>
    </w:p>
    <w:p>
      <w:pPr>
        <w:pStyle w:val="ListParagraph"/>
        <w:numPr>
          <w:ilvl w:val="0"/>
          <w:numId w:val="3"/>
        </w:numPr>
        <w:spacing w:after="100" w:line="276"/>
      </w:pPr>
      <w:r>
        <w:rPr>
          <w:rFonts w:ascii="Calibri" w:cs="Calibri" w:eastAsia="Calibri" w:hAnsi="Calibri"/>
          <w:color w:val="1F2933"/>
          <w:sz w:val="20"/>
          <w:szCs w:val="20"/>
        </w:rPr>
        <w:t xml:space="preserve">811 códigos de color conviven en hilos sin un diccionario común —972 en el catálogo completo—: el mismo C/0000 (negro) se repite en Mara (452 códigos), Serafil (221), Tera (164) e Isacord (125). Es la clave natural para agrupar y para recomendar equivalencias entre gamas.</w:t>
      </w:r>
    </w:p>
    <w:p>
      <w:pPr>
        <w:pStyle w:val="ListParagraph"/>
        <w:numPr>
          <w:ilvl w:val="0"/>
          <w:numId w:val="3"/>
        </w:numPr>
        <w:spacing w:after="100" w:line="276"/>
      </w:pPr>
      <w:r>
        <w:rPr>
          <w:rFonts w:ascii="Calibri" w:cs="Calibri" w:eastAsia="Calibri" w:hAnsi="Calibri"/>
          <w:color w:val="1F2933"/>
          <w:sz w:val="20"/>
          <w:szCs w:val="20"/>
        </w:rPr>
        <w:t xml:space="preserve">Bobina frente a cono es una decisión de volumen, no de producto (2.335 vs. 1.518 refs). Duplica el catálogo sin añadir variedad real: candidato claro a variante de producto.</w:t>
      </w:r>
    </w:p>
    <w:p>
      <w:pPr>
        <w:pStyle w:val="ListParagraph"/>
        <w:numPr>
          <w:ilvl w:val="0"/>
          <w:numId w:val="3"/>
        </w:numPr>
        <w:spacing w:after="100" w:line="276"/>
      </w:pPr>
      <w:r>
        <w:rPr>
          <w:rFonts w:ascii="Calibri" w:cs="Calibri" w:eastAsia="Calibri" w:hAnsi="Calibri"/>
          <w:color w:val="1F2933"/>
          <w:sz w:val="20"/>
          <w:szCs w:val="20"/>
        </w:rPr>
        <w:t xml:space="preserve">Las categorías «PARA MARA xx» y «PARA TERA xx» ya codifican la afinidad hilo ↔ aguja. Es el mejor activo de datos del sitio y no está explotado fuera del menú.</w:t>
      </w:r>
    </w:p>
    <w:p>
      <w:pPr>
        <w:pStyle w:val="ListParagraph"/>
        <w:numPr>
          <w:ilvl w:val="0"/>
          <w:numId w:val="3"/>
        </w:numPr>
        <w:spacing w:after="100" w:line="276"/>
      </w:pPr>
      <w:r>
        <w:rPr>
          <w:rFonts w:ascii="Calibri" w:cs="Calibri" w:eastAsia="Calibri" w:hAnsi="Calibri"/>
          <w:color w:val="1F2933"/>
          <w:sz w:val="20"/>
          <w:szCs w:val="20"/>
        </w:rPr>
        <w:t xml:space="preserve">Categorías raíz con producto suelto: 60 referencias cuelgan directamente de categorías padre (HILOS, HERRAMIENTAS, FORNITURAS, EMBALAJE…) sin subcategoría. Es ruido de mantenimiento.</w:t>
      </w:r>
    </w:p>
    <w:p>
      <w:pPr>
        <w:pStyle w:val="ListParagraph"/>
        <w:numPr>
          <w:ilvl w:val="0"/>
          <w:numId w:val="3"/>
        </w:numPr>
        <w:spacing w:after="100" w:line="276"/>
      </w:pPr>
      <w:r>
        <w:rPr>
          <w:rFonts w:ascii="Calibri" w:cs="Calibri" w:eastAsia="Calibri" w:hAnsi="Calibri"/>
          <w:color w:val="1F2933"/>
          <w:sz w:val="20"/>
          <w:szCs w:val="20"/>
        </w:rPr>
        <w:t xml:space="preserve">199 productos ya son packs o kits (97 en cremalleras, 42 en hilos, 35 en tintes). La tienda ya está migrando hacia la venta combinada; las agrupaciones de la sección 4 son la extensión natural de ese movimiento.</w:t>
      </w:r>
    </w:p>
    <w:p>
      <w:pPr>
        <w:pStyle w:val="Heading1"/>
        <w:spacing w:after="160" w:before="380"/>
      </w:pPr>
      <w:r>
        <w:rPr>
          <w:rFonts w:ascii="Calibri" w:cs="Calibri" w:eastAsia="Calibri" w:hAnsi="Calibri"/>
          <w:b/>
          <w:bCs/>
          <w:color w:val="C05A17"/>
          <w:sz w:val="30"/>
          <w:szCs w:val="30"/>
        </w:rPr>
        <w:t xml:space="preserve">6. Método</w:t>
      </w:r>
    </w:p>
    <w:p>
      <w:pPr>
        <w:pStyle w:val="ListParagraph"/>
        <w:numPr>
          <w:ilvl w:val="0"/>
          <w:numId w:val="2"/>
        </w:numPr>
        <w:spacing w:after="80" w:line="276"/>
      </w:pPr>
      <w:r>
        <w:rPr>
          <w:rFonts w:ascii="Calibri" w:cs="Calibri" w:eastAsia="Calibri" w:hAnsi="Calibri"/>
          <w:color w:val="1F2933"/>
          <w:sz w:val="20"/>
          <w:szCs w:val="20"/>
        </w:rPr>
        <w:t xml:space="preserve">Descubrimiento del árbol de categorías desde el megamenú de portada (iqitmegamenu): 197 nodos y 18 familias de primer nivel.</w:t>
      </w:r>
    </w:p>
    <w:p>
      <w:pPr>
        <w:pStyle w:val="ListParagraph"/>
        <w:numPr>
          <w:ilvl w:val="0"/>
          <w:numId w:val="2"/>
        </w:numPr>
        <w:spacing w:after="80" w:line="276"/>
      </w:pPr>
      <w:r>
        <w:rPr>
          <w:rFonts w:ascii="Calibri" w:cs="Calibri" w:eastAsia="Calibri" w:hAnsi="Calibri"/>
          <w:color w:val="1F2933"/>
          <w:sz w:val="20"/>
          <w:szCs w:val="20"/>
        </w:rPr>
        <w:t xml:space="preserve">Recorrido paginado de https://canodiy.es/42-productos (253 páginas × 24 productos) parseando cada article.product-miniature: nombre, referencia, precio (microdato content), categoría por defecto y URL canónica.</w:t>
      </w:r>
    </w:p>
    <w:p>
      <w:pPr>
        <w:pStyle w:val="ListParagraph"/>
        <w:numPr>
          <w:ilvl w:val="0"/>
          <w:numId w:val="2"/>
        </w:numPr>
        <w:spacing w:after="80" w:line="276"/>
      </w:pPr>
      <w:r>
        <w:rPr>
          <w:rFonts w:ascii="Calibri" w:cs="Calibri" w:eastAsia="Calibri" w:hAnsi="Calibri"/>
          <w:color w:val="1F2933"/>
          <w:sz w:val="20"/>
          <w:szCs w:val="20"/>
        </w:rPr>
        <w:t xml:space="preserve">Asignación de familia por el slug de categoría contenido en la URL del producto; los 13 productos colgados de la raíz se reclasificaron por nombre.</w:t>
      </w:r>
    </w:p>
    <w:p>
      <w:pPr>
        <w:pStyle w:val="ListParagraph"/>
        <w:numPr>
          <w:ilvl w:val="0"/>
          <w:numId w:val="2"/>
        </w:numPr>
        <w:spacing w:after="80" w:line="276"/>
      </w:pPr>
      <w:r>
        <w:rPr>
          <w:rFonts w:ascii="Calibri" w:cs="Calibri" w:eastAsia="Calibri" w:hAnsi="Calibri"/>
          <w:color w:val="1F2933"/>
          <w:sz w:val="20"/>
          <w:szCs w:val="20"/>
        </w:rPr>
        <w:t xml:space="preserve">Verificación de cobertura: el contador del propio PrestaShop declara 6.049 productos y se extrajeron 6.049 (100 %).</w:t>
      </w:r>
    </w:p>
    <w:p>
      <w:pPr>
        <w:pStyle w:val="ListParagraph"/>
        <w:numPr>
          <w:ilvl w:val="0"/>
          <w:numId w:val="2"/>
        </w:numPr>
        <w:spacing w:after="80" w:line="276"/>
      </w:pPr>
      <w:r>
        <w:rPr>
          <w:rFonts w:ascii="Calibri" w:cs="Calibri" w:eastAsia="Calibri" w:hAnsi="Calibri"/>
          <w:color w:val="1F2933"/>
          <w:sz w:val="20"/>
          <w:szCs w:val="20"/>
        </w:rPr>
        <w:t xml:space="preserve">Precios en euros con IVA, tal y como los publica la tienda en la fecha de extracción.</w:t>
      </w:r>
    </w:p>
    <w:sectPr>
      <w:footerReference w:type="default" r:id="rId7"/>
      <w:pgSz w:w="11908" w:h="16833"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Canodiy.es · catálogo agrupado ·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Canodiy.es — Catálogo agrupado por combinaciones afines</dc:title>
  <dc:creator>Análisis de catálogo</dc:creator>
  <dc:description>Agrupación de los 6.049 productos de canodiy.es por familias y combinaciones afines</dc:description>
  <cp:lastModifiedBy>Un-named</cp:lastModifiedBy>
  <cp:revision>1</cp:revision>
  <dcterms:created xsi:type="dcterms:W3CDTF">2026-07-27T11:54:24.982Z</dcterms:created>
  <dcterms:modified xsi:type="dcterms:W3CDTF">2026-07-27T11:54:24.983Z</dcterms:modified>
</cp:coreProperties>
</file>

<file path=docProps/custom.xml><?xml version="1.0" encoding="utf-8"?>
<Properties xmlns="http://schemas.openxmlformats.org/officeDocument/2006/custom-properties" xmlns:vt="http://schemas.openxmlformats.org/officeDocument/2006/docPropsVTypes"/>
</file>