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Client Meeting — Discovery Questions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Pre-sale / scoping preparation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KPIs and existing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Are these new KPIs, or existing ones? How analytically mature are they, and is there a reference / source-of-truth system to verify them against?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 state is the legacy system in, if one exists — and is it accessible to us?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Current technology adoption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Have you already evaluated or piloted the modern Databricks stack, including Unity Catalog and Metric Views?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 Databricks or Microsoft Fabric the intended platform for building the Gold layer — or is that decision still open?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Business / analytics readiness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 level of business-analyst support does the project currently have?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Are there defined entities and processes toward a canonical data model?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 blockers have you hit, and what lessons have you already learned?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Scope of our architectural involvement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What's the intended scope and area of responsibility for us? Specifically: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Assessment of current project state and technical solution design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Team mentorship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Proof of concept (POC)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Direct hands-on delivery toward the business goal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AI tooling already in place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Which AI systems are already licensed and available for use?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Databricks Agents?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Copilot?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1"/>
          <w:szCs w:val="21"/>
        </w:rPr>
        <w:t xml:space="preserve">Does the company have a Claude subscription, and could an N-iX representative be added as a user?</w:t>
      </w:r>
    </w:p>
    <w:p>
      <w:pPr>
        <w:spacing w:after="100"/>
        <w:ind w:left="360"/>
      </w:pPr>
      <w:r>
        <w:rPr>
          <w:i/>
          <w:iCs/>
          <w:color w:val="666666"/>
          <w:sz w:val="18"/>
          <w:szCs w:val="18"/>
        </w:rPr>
        <w:t xml:space="preserve">Logistical / procurement question — fine to raise here, or hold for a follow-up email if time is tight.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 there a preliminary budget for AI-assisted design and implementation work?</w:t>
      </w:r>
    </w:p>
    <w:p>
      <w:pPr>
        <w:spacing w:after="100"/>
        <w:ind w:left="360"/>
      </w:pPr>
      <w:r>
        <w:rPr>
          <w:i/>
          <w:iCs/>
          <w:color w:val="666666"/>
          <w:sz w:val="18"/>
          <w:szCs w:val="18"/>
        </w:rPr>
        <w:t xml:space="preserve">i.e. an estimated allowance for LLM-driven tooling/usage across the design and build phases.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Team readiness and risk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How motivated is the existing team to learn new approaches and adopt new capabilities?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 risks do you see here?</w:t>
      </w:r>
    </w:p>
    <w:sectPr>
      <w:pgSz w:w="11906" w:h="16838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2026-08-06T07:25:28.243Z</dcterms:created>
  <dcterms:modified xsi:type="dcterms:W3CDTF">2026-08-06T07:25:28.255Z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