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CEBEB" w:color="auto" w:val="clear"/>
        <w:spacing w:after="10"/>
      </w:pPr>
      <w:r>
        <w:rPr>
          <w:b/>
          <w:bCs/>
          <w:color w:val="8A1F1F"/>
          <w:sz w:val="20"/>
          <w:szCs w:val="20"/>
        </w:rPr>
        <w:t xml:space="preserve">INTERNAL ONLY — NOT FOR CLIENT DISTRIBUTION</w:t>
      </w:r>
    </w:p>
    <w:p>
      <w:pPr>
        <w:spacing w:after="20"/>
      </w:pPr>
      <w:r>
        <w:rPr>
          <w:b/>
          <w:bCs/>
          <w:color w:val="1F3864"/>
          <w:sz w:val="32"/>
          <w:szCs w:val="32"/>
        </w:rPr>
        <w:t xml:space="preserve">Pre-sale Risk Notes</w:t>
      </w:r>
    </w:p>
    <w:p>
      <w:pPr>
        <w:spacing w:after="160"/>
      </w:pPr>
      <w:r>
        <w:rPr>
          <w:i/>
          <w:iCs/>
          <w:color w:val="555555"/>
          <w:sz w:val="18"/>
          <w:szCs w:val="18"/>
        </w:rPr>
        <w:t xml:space="preserve">Internal scoping preparation — do not share with client</w:t>
      </w:r>
    </w:p>
    <w:p>
      <w:pPr>
        <w:pBdr>
          <w:bottom w:val="single" w:color="1F3864" w:sz="4" w:space="2"/>
        </w:pBdr>
        <w:spacing w:after="80" w:before="200"/>
      </w:pPr>
      <w:r>
        <w:rPr>
          <w:b/>
          <w:bCs/>
          <w:color w:val="1F3864"/>
          <w:sz w:val="22"/>
          <w:szCs w:val="22"/>
        </w:rPr>
        <w:t xml:space="preserve">Semantic layer tooling risk</w:t>
      </w:r>
    </w:p>
    <w:p>
      <w:pPr>
        <w:pStyle w:val="ListParagraph"/>
        <w:numPr>
          <w:ilvl w:val="0"/>
          <w:numId w:val="1"/>
        </w:numPr>
        <w:spacing w:after="60"/>
      </w:pPr>
      <w:r>
        <w:rPr>
          <w:sz w:val="21"/>
          <w:szCs w:val="21"/>
        </w:rPr>
        <w:t xml:space="preserve">Metric Views and Genie, as our proposed tool for building the semantic layer, may prove more limited than the complexity of the client's existing business logic requires. This isn't an unusual failure mode — but it would still be the architecturally correct approach, as opposed to shortcuts plus later modernization.</w:t>
      </w:r>
    </w:p>
    <w:p>
      <w:pPr>
        <w:pStyle w:val="ListParagraph"/>
        <w:numPr>
          <w:ilvl w:val="0"/>
          <w:numId w:val="1"/>
        </w:numPr>
        <w:spacing w:after="60"/>
      </w:pPr>
      <w:r>
        <w:rPr>
          <w:sz w:val="21"/>
          <w:szCs w:val="21"/>
        </w:rPr>
        <w:t xml:space="preserve">Do we have a practitioner on the bench who knows Metric Views and Genie well enough to quickly assess whether this approach is actually viable for this case?</w:t>
      </w:r>
    </w:p>
    <w:p>
      <w:pPr>
        <w:pBdr>
          <w:bottom w:val="single" w:color="1F3864" w:sz="4" w:space="2"/>
        </w:pBdr>
        <w:spacing w:after="80" w:before="200"/>
      </w:pPr>
      <w:r>
        <w:rPr>
          <w:b/>
          <w:bCs/>
          <w:color w:val="1F3864"/>
          <w:sz w:val="22"/>
          <w:szCs w:val="22"/>
        </w:rPr>
        <w:t xml:space="preserve">Team adoption risk</w:t>
      </w:r>
    </w:p>
    <w:p>
      <w:pPr>
        <w:pStyle w:val="ListParagraph"/>
        <w:numPr>
          <w:ilvl w:val="0"/>
          <w:numId w:val="1"/>
        </w:numPr>
        <w:spacing w:after="60"/>
      </w:pPr>
      <w:r>
        <w:rPr>
          <w:sz w:val="21"/>
          <w:szCs w:val="21"/>
        </w:rPr>
        <w:t xml:space="preserve">How motivated is the existing team to learn new approaches, change working habits, and adopt new capabilities? What risks does this create for delivery?</w:t>
      </w:r>
    </w:p>
    <w:p>
      <w:pPr>
        <w:pBdr>
          <w:bottom w:val="single" w:color="1F3864" w:sz="4" w:space="2"/>
        </w:pBdr>
        <w:spacing w:after="80" w:before="200"/>
      </w:pPr>
      <w:r>
        <w:rPr>
          <w:b/>
          <w:bCs/>
          <w:color w:val="1F3864"/>
          <w:sz w:val="22"/>
          <w:szCs w:val="22"/>
        </w:rPr>
        <w:t xml:space="preserve">Problem framing risk</w:t>
      </w:r>
    </w:p>
    <w:p>
      <w:pPr>
        <w:pStyle w:val="ListParagraph"/>
        <w:numPr>
          <w:ilvl w:val="0"/>
          <w:numId w:val="1"/>
        </w:numPr>
        <w:spacing w:after="60"/>
      </w:pPr>
      <w:r>
        <w:rPr>
          <w:sz w:val="21"/>
          <w:szCs w:val="21"/>
        </w:rPr>
        <w:t xml:space="preserve">Is the problem correctly diagnosed as “lack of architectural discipline” — or is that framing masking a deeper issue: insufficient analytical maturity in an old and tangled domain area? If it's the latter, an architecture-first fix won't resolve the underlying cause, and we risk solving the wrong layer of the problem.</w:t>
      </w:r>
    </w:p>
    <w:sectPr>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2026-08-06T07:22:13.719Z</dcterms:created>
  <dcterms:modified xsi:type="dcterms:W3CDTF">2026-08-06T07:22:13.733Z</dcterms:modified>
</cp:coreProperties>
</file>

<file path=docProps/custom.xml><?xml version="1.0" encoding="utf-8"?>
<Properties xmlns="http://schemas.openxmlformats.org/officeDocument/2006/custom-properties" xmlns:vt="http://schemas.openxmlformats.org/officeDocument/2006/docPropsVTypes"/>
</file>