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80" w:before="80"/>
      </w:pPr>
      <w:r>
        <w:t xml:space="preserve"/>
      </w:r>
    </w:p>
    <w:p>
      <w:pPr>
        <w:spacing w:after="60" w:before="0"/>
        <w:jc w:val="center"/>
      </w:pPr>
      <w:r>
        <w:rPr>
          <w:rFonts w:ascii="Arial" w:cs="Arial" w:eastAsia="Arial" w:hAnsi="Arial"/>
          <w:b/>
          <w:bCs/>
          <w:caps/>
          <w:color w:val="64748B"/>
          <w:sz w:val="20"/>
          <w:szCs w:val="20"/>
        </w:rPr>
        <w:t xml:space="preserve">DOCUMENTO DE PROYECTO</w:t>
      </w:r>
    </w:p>
    <w:p>
      <w:pPr>
        <w:spacing w:after="40" w:before="0"/>
        <w:jc w:val="center"/>
      </w:pPr>
      <w:r>
        <w:rPr>
          <w:rFonts w:ascii="Arial" w:cs="Arial" w:eastAsia="Arial" w:hAnsi="Arial"/>
          <w:color w:val="64748B"/>
          <w:sz w:val="18"/>
          <w:szCs w:val="18"/>
        </w:rPr>
        <w:t xml:space="preserve">Portafolio Familiar de Emprendimientos  ·  Clasificación: Núcleo Central</w:t>
      </w:r>
    </w:p>
    <w:p>
      <w:pPr>
        <w:spacing w:after="80" w:before="80"/>
      </w:pPr>
      <w:r>
        <w:t xml:space="preserve"/>
      </w:r>
    </w:p>
    <w:p>
      <w:pPr>
        <w:pBdr>
          <w:bottom w:val="single" w:color="D97706" w:sz="10" w:space="4"/>
        </w:pBdr>
        <w:spacing w:after="120" w:before="80"/>
        <w:jc w:val="center"/>
      </w:pPr>
      <w:r>
        <w:rPr>
          <w:rFonts w:ascii="Arial" w:cs="Arial" w:eastAsia="Arial" w:hAnsi="Arial"/>
          <w:b/>
          <w:bCs/>
          <w:color w:val="1E293B"/>
          <w:sz w:val="44"/>
          <w:szCs w:val="44"/>
        </w:rPr>
        <w:t xml:space="preserve">Ecommerce Disruptivo — Línea Madre</w:t>
      </w:r>
    </w:p>
    <w:p>
      <w:pPr>
        <w:spacing w:after="60" w:before="60"/>
        <w:jc w:val="center"/>
      </w:pPr>
      <w:r>
        <w:rPr>
          <w:rFonts w:ascii="Arial" w:cs="Arial" w:eastAsia="Arial" w:hAnsi="Arial"/>
          <w:i/>
          <w:iCs/>
          <w:color w:val="D97706"/>
          <w:sz w:val="24"/>
          <w:szCs w:val="24"/>
        </w:rPr>
        <w:t xml:space="preserve">Laboratorio comercial que alimenta los casos de uso de Cosmética y Moda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Línea madre</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Ecommerce Disruptivo (Línea #3)</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Casos de uso</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Cosmética, Perfumes y Marca Personal · Moda, Diseño y Fabricación</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Operadora principal</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Susy (laboratorio) — Roberto (estrategia y capital)</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Mercados</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España (validación digital) · Venezuela (arbitraje e importación)</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Capa estratégica</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Capa 2 — Producto / Comercialización (laboratorio + dos especializaciones)</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Estado</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Fase de definición estratégica — Listo para ejecución tras cerrar decisiones</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Próxima acción</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Definir categoría inicial, mercado de validación y plataforma central</w:t>
            </w:r>
          </w:p>
        </w:tc>
      </w:tr>
      <w:tr>
        <w:tc>
          <w:tcPr>
            <w:tcW w:type="dxa" w:w="2800"/>
            <w:tcBorders>
              <w:top w:val="single" w:color="FDE68A" w:sz="1"/>
              <w:left w:val="single" w:color="FDE68A" w:sz="1"/>
              <w:bottom w:val="single" w:color="FDE68A" w:sz="1"/>
              <w:right w:val="single" w:color="FDE68A" w:sz="1"/>
            </w:tcBorders>
            <w:shd w:fill="FFFBEB" w:val="clear"/>
            <w:tcMar>
              <w:top w:type="dxa" w:w="100"/>
              <w:left w:type="dxa" w:w="130"/>
              <w:bottom w:type="dxa" w:w="100"/>
              <w:right w:type="dxa" w:w="130"/>
            </w:tcMar>
          </w:tcPr>
          <w:p>
            <w:r>
              <w:rPr>
                <w:rFonts w:ascii="Arial" w:cs="Arial" w:eastAsia="Arial" w:hAnsi="Arial"/>
                <w:b/>
                <w:bCs/>
                <w:color w:val="D97706"/>
                <w:sz w:val="20"/>
                <w:szCs w:val="20"/>
              </w:rPr>
              <w:t xml:space="preserve">Fecha</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Abril 2026 — Documento vivo</w:t>
            </w:r>
          </w:p>
        </w:tc>
      </w:tr>
    </w:tbl>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1. Propósito del documento</w:t>
      </w:r>
    </w:p>
    <w:p>
      <w:pPr>
        <w:spacing w:after="100" w:before="60"/>
      </w:pPr>
      <w:r>
        <w:rPr>
          <w:rFonts w:ascii="Arial" w:cs="Arial" w:eastAsia="Arial" w:hAnsi="Arial"/>
          <w:color w:val="1E293B"/>
          <w:sz w:val="22"/>
          <w:szCs w:val="22"/>
        </w:rPr>
        <w:t xml:space="preserve">Este documento define Ecommerce Disruptivo como la línea madre del portafolio, es decir, como el laboratorio comercial que detecta oportunidades, valida hipótesis de mercado y alimenta los dos casos de uso especializados: Cosmética, Perfumes y Marca Personal, y Moda, Diseño y Fabricación. Sintetiza la investigación estratégica disponible a abril de 2026 para informar la arquitectura, el modelo operativo y la secuencia de activación.</w:t>
      </w:r>
    </w:p>
    <w:p>
      <w:pPr>
        <w:spacing w:after="100" w:before="60"/>
      </w:pPr>
      <w:r>
        <w:rPr>
          <w:rFonts w:ascii="Arial" w:cs="Arial" w:eastAsia="Arial" w:hAnsi="Arial"/>
          <w:color w:val="1E293B"/>
          <w:sz w:val="22"/>
          <w:szCs w:val="22"/>
        </w:rPr>
        <w:t xml:space="preserve">Su función es cuádruple: fijar el encuadre correcto de la línea madre frente a los casos de uso; integrar los hallazgos de mercado para España y Venezuela; definir los modelos operativos y las métricas de validación; y establecer el roadmap y las decisiones pendientes antes de la ejecución.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00"/>
              <w:left w:type="dxa" w:w="130"/>
              <w:bottom w:type="dxa" w:w="100"/>
              <w:right w:type="dxa" w:w="130"/>
            </w:tcMar>
          </w:tcPr>
          <w:p>
            <w:pPr>
              <w:spacing w:after="60" w:before="40"/>
            </w:pPr>
            <w:r>
              <w:rPr>
                <w:rFonts w:ascii="Arial" w:cs="Arial" w:eastAsia="Arial" w:hAnsi="Arial"/>
                <w:b/>
                <w:bCs/>
                <w:color w:val="D97706"/>
                <w:sz w:val="22"/>
                <w:szCs w:val="22"/>
              </w:rPr>
              <w:t xml:space="preserve">Por qué una línea madre y no tres negocios paralelos</w:t>
            </w:r>
          </w:p>
          <w:p>
            <w:pPr>
              <w:spacing w:after="40" w:before="40"/>
            </w:pPr>
            <w:r>
              <w:rPr>
                <w:rFonts w:ascii="Arial" w:cs="Arial" w:eastAsia="Arial" w:hAnsi="Arial"/>
                <w:color w:val="1E293B"/>
                <w:sz w:val="21"/>
                <w:szCs w:val="21"/>
              </w:rPr>
              <w:t xml:space="preserve">La investigación concluye que lanzar tres frentes comerciales completos simultáneamente destruye capital, dispersa atención y elimina la capacidad de aprender rápido. La estructura más inteligente es un solo núcleo que explora y filtra — el laboratorio de Ecommerce Disruptivo — y dos especializaciones que profundizan solo cuando hay evidencia comercial suficiente.</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2. Qué es y qué no es esta línea</w:t>
      </w:r>
    </w:p>
    <w:p>
      <w:pPr>
        <w:pStyle w:val="Heading2"/>
        <w:spacing w:after="80" w:before="240"/>
      </w:pPr>
      <w:r>
        <w:rPr>
          <w:rFonts w:ascii="Arial" w:cs="Arial" w:eastAsia="Arial" w:hAnsi="Arial"/>
          <w:b/>
          <w:bCs/>
          <w:color w:val="1E293B"/>
          <w:sz w:val="24"/>
          <w:szCs w:val="24"/>
        </w:rPr>
        <w:t xml:space="preserve">2.1 Definición operativa</w:t>
      </w:r>
    </w:p>
    <w:p>
      <w:pPr>
        <w:spacing w:after="100" w:before="60"/>
      </w:pPr>
      <w:r>
        <w:rPr>
          <w:rFonts w:ascii="Arial" w:cs="Arial" w:eastAsia="Arial" w:hAnsi="Arial"/>
          <w:color w:val="1E293B"/>
          <w:sz w:val="22"/>
          <w:szCs w:val="22"/>
        </w:rPr>
        <w:t xml:space="preserve">Ecommerce Disruptivo no es una tienda generalista. No es un bazar digital sin tesis. Es un laboratorio comercial estructurado para responder preguntas concretas antes de comprometer capital en ningún caso de uso: qué categorías convierten, qué mensajes activan la compra, qué pricing soporta el mercado, qué canales funcionan y qué productos merecen pasar a una fase de profundización.</w:t>
      </w:r>
    </w:p>
    <w:p>
      <w:pPr>
        <w:spacing w:after="100" w:before="60"/>
      </w:pPr>
      <w:r>
        <w:rPr>
          <w:rFonts w:ascii="Arial" w:cs="Arial" w:eastAsia="Arial" w:hAnsi="Arial"/>
          <w:color w:val="1E293B"/>
          <w:sz w:val="22"/>
          <w:szCs w:val="22"/>
        </w:rPr>
        <w:t xml:space="preserve">Su función principal es la detección iterativa, la prueba rápida y la validación de productos, nichos o servicios diferenciales con baja saturación y márgenes asimétricos en los mercados de España o Venezuela, con potencial de expansión a Latinoamérica.</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2.2 Funciones clave del laboratorio</w:t>
      </w:r>
    </w:p>
    <w:p>
      <w:pPr>
        <w:pStyle w:val="ListParagraph"/>
        <w:numPr>
          <w:ilvl w:val="0"/>
          <w:numId w:val="2"/>
        </w:numPr>
        <w:spacing w:after="60" w:before="40"/>
      </w:pPr>
      <w:r>
        <w:rPr>
          <w:rFonts w:ascii="Arial" w:cs="Arial" w:eastAsia="Arial" w:hAnsi="Arial"/>
          <w:color w:val="1E293B"/>
          <w:sz w:val="22"/>
          <w:szCs w:val="22"/>
        </w:rPr>
        <w:t xml:space="preserve">Detectar huecos de mercado insuficientemente explotados en categorías con potencial de margen.</w:t>
      </w:r>
    </w:p>
    <w:p>
      <w:pPr>
        <w:pStyle w:val="ListParagraph"/>
        <w:numPr>
          <w:ilvl w:val="0"/>
          <w:numId w:val="2"/>
        </w:numPr>
        <w:spacing w:after="60" w:before="40"/>
      </w:pPr>
      <w:r>
        <w:rPr>
          <w:rFonts w:ascii="Arial" w:cs="Arial" w:eastAsia="Arial" w:hAnsi="Arial"/>
          <w:color w:val="1E293B"/>
          <w:sz w:val="22"/>
          <w:szCs w:val="22"/>
        </w:rPr>
        <w:t xml:space="preserve">Testear productos con bajo coste de entrada: catálogo corto, hipótesis clara, métricas definidas.</w:t>
      </w:r>
    </w:p>
    <w:p>
      <w:pPr>
        <w:pStyle w:val="ListParagraph"/>
        <w:numPr>
          <w:ilvl w:val="0"/>
          <w:numId w:val="2"/>
        </w:numPr>
        <w:spacing w:after="60" w:before="40"/>
      </w:pPr>
      <w:r>
        <w:rPr>
          <w:rFonts w:ascii="Arial" w:cs="Arial" w:eastAsia="Arial" w:hAnsi="Arial"/>
          <w:color w:val="1E293B"/>
          <w:sz w:val="22"/>
          <w:szCs w:val="22"/>
        </w:rPr>
        <w:t xml:space="preserve">Validar creatividades, copies, contenido orgánico y mensajes de venta antes de escalar.</w:t>
      </w:r>
    </w:p>
    <w:p>
      <w:pPr>
        <w:pStyle w:val="ListParagraph"/>
        <w:numPr>
          <w:ilvl w:val="0"/>
          <w:numId w:val="2"/>
        </w:numPr>
        <w:spacing w:after="60" w:before="40"/>
      </w:pPr>
      <w:r>
        <w:rPr>
          <w:rFonts w:ascii="Arial" w:cs="Arial" w:eastAsia="Arial" w:hAnsi="Arial"/>
          <w:color w:val="1E293B"/>
          <w:sz w:val="22"/>
          <w:szCs w:val="22"/>
        </w:rPr>
        <w:t xml:space="preserve">Medir márgenes reales incluyendo logística, devoluciones y coste de adquisición de clientes.</w:t>
      </w:r>
    </w:p>
    <w:p>
      <w:pPr>
        <w:pStyle w:val="ListParagraph"/>
        <w:numPr>
          <w:ilvl w:val="0"/>
          <w:numId w:val="2"/>
        </w:numPr>
        <w:spacing w:after="60" w:before="40"/>
      </w:pPr>
      <w:r>
        <w:rPr>
          <w:rFonts w:ascii="Arial" w:cs="Arial" w:eastAsia="Arial" w:hAnsi="Arial"/>
          <w:color w:val="1E293B"/>
          <w:sz w:val="22"/>
          <w:szCs w:val="22"/>
        </w:rPr>
        <w:t xml:space="preserve">Decidir qué caso de uso (Cosmética o Moda) merece convertirse en una marca más profunda.</w:t>
      </w:r>
    </w:p>
    <w:p>
      <w:pPr>
        <w:pStyle w:val="ListParagraph"/>
        <w:numPr>
          <w:ilvl w:val="0"/>
          <w:numId w:val="2"/>
        </w:numPr>
        <w:spacing w:after="60" w:before="40"/>
      </w:pPr>
      <w:r>
        <w:rPr>
          <w:rFonts w:ascii="Arial" w:cs="Arial" w:eastAsia="Arial" w:hAnsi="Arial"/>
          <w:color w:val="1E293B"/>
          <w:sz w:val="22"/>
          <w:szCs w:val="22"/>
        </w:rPr>
        <w:t xml:space="preserve">Transferir aprendizajes de mercado, audiencia y pricing a los casos de uso especializados.</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2.3 Relación con los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Dimensión</w:t>
            </w:r>
          </w:p>
        </w:tc>
        <w:tc>
          <w:tcPr>
            <w:tcW w:type="dxa" w:w="238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Ecommerce disruptivo (línea madre)</w:t>
            </w:r>
          </w:p>
        </w:tc>
        <w:tc>
          <w:tcPr>
            <w:tcW w:type="dxa" w:w="238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Cosmética y perfumes</w:t>
            </w:r>
          </w:p>
        </w:tc>
        <w:tc>
          <w:tcPr>
            <w:tcW w:type="dxa" w:w="2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Moda y diseño</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Función</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Descubrir, testear, vender y decidir dónde profundizar</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Monetizar deseo, aspiración y recompra</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Construir identidad de marca y extensión de comunidad</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Lógica principal</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Laboratorio comercial</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Curación, importación → white label</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POD → white label → marca propia</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Modelo de entrada</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Catálogo corto, tests, bundles, contenido</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Importación selectiva, surtido corto</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Print-on-demand sin stock inicial</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Prioridad temporal</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Inmediata — activa desde el inicio</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Alta — primer caso de uso fuerte</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Segunda — extensión de identidad</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Riesgo dominante</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Dispersión y falta de tesis clara</w:t>
            </w:r>
          </w:p>
        </w:tc>
        <w:tc>
          <w:tcPr>
            <w:tcW w:type="dxa" w:w="23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Regulación y supply chain</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Inventario y devoluciones por talla</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Alimenta a los casos de uso con</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Inteligencia de mercado y señales de demanda</w:t>
            </w:r>
          </w:p>
        </w:tc>
        <w:tc>
          <w:tcPr>
            <w:tcW w:type="dxa" w:w="23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Tendencias de belleza validadas en el lab</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Datos de estética y diseño que convierten</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3. Contexto de mercado</w:t>
      </w:r>
    </w:p>
    <w:p>
      <w:pPr>
        <w:pStyle w:val="Heading2"/>
        <w:spacing w:after="80" w:before="240"/>
      </w:pPr>
      <w:r>
        <w:rPr>
          <w:rFonts w:ascii="Arial" w:cs="Arial" w:eastAsia="Arial" w:hAnsi="Arial"/>
          <w:b/>
          <w:bCs/>
          <w:color w:val="1E293B"/>
          <w:sz w:val="24"/>
          <w:szCs w:val="24"/>
        </w:rPr>
        <w:t xml:space="preserve">3.1 España — mercado de validación digital</w:t>
      </w:r>
    </w:p>
    <w:p>
      <w:pPr>
        <w:spacing w:after="100" w:before="60"/>
      </w:pPr>
      <w:r>
        <w:rPr>
          <w:rFonts w:ascii="Arial" w:cs="Arial" w:eastAsia="Arial" w:hAnsi="Arial"/>
          <w:color w:val="1E293B"/>
          <w:sz w:val="22"/>
          <w:szCs w:val="22"/>
        </w:rPr>
        <w:t xml:space="preserve">La CNMC confirma que la facturación del comercio electrónico en España alcanzó 25.752 millones en el primer trimestre de 2025 y 28.346 millones en el segundo, con crecimientos interanuales del 18,2% y el 22,6% respectivamente. El mercado es robusto, dinámico y en expansión sostenida.</w:t>
      </w:r>
    </w:p>
    <w:p>
      <w:pPr>
        <w:spacing w:after="100" w:before="60"/>
      </w:pPr>
      <w:r>
        <w:rPr>
          <w:rFonts w:ascii="Arial" w:cs="Arial" w:eastAsia="Arial" w:hAnsi="Arial"/>
          <w:color w:val="1E293B"/>
          <w:sz w:val="22"/>
          <w:szCs w:val="22"/>
        </w:rPr>
        <w:t xml:space="preserve">El social commerce es ya una realidad estructural, no una tendencia emergente. DHL reporta que 1 de cada 2 compradores españoles ya ha comprado por redes sociales, y el 61% considera plausible que ese canal sea uno de sus principales destinos de compra en el futuro próximo. Esto es especialmente relevante para líneas basadas en estética, descubrimiento y aspiración como los dos casos de uso del portafolio.</w:t>
      </w:r>
    </w:p>
    <w:p>
      <w:pPr>
        <w:spacing w:after="100" w:before="60"/>
      </w:pPr>
      <w:r>
        <w:rPr>
          <w:rFonts w:ascii="Arial" w:cs="Arial" w:eastAsia="Arial" w:hAnsi="Arial"/>
          <w:color w:val="1E293B"/>
          <w:sz w:val="22"/>
          <w:szCs w:val="22"/>
        </w:rPr>
        <w:t xml:space="preserve">El comportamiento del consumidor ha mutado hacia el descubrimiento algorítmico: los consumidores no buscan activamente el producto, lo descubren en TikTok Shop, Instagram Shopping y marketplaces. Esto favorece modelos basados en contenido visual, UGC y social commerce.</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3.2 España — ecosistema de marketplaces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Marketplace / Canal</w:t>
            </w:r>
          </w:p>
        </w:tc>
        <w:tc>
          <w:tcPr>
            <w:tcW w:type="dxa" w:w="33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Posicionamiento 2026</w:t>
            </w:r>
          </w:p>
        </w:tc>
        <w:tc>
          <w:tcPr>
            <w:tcW w:type="dxa" w:w="3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 en el laboratorio</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Amazon.es</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 del ecommerce español. Domina por logística FBA y fidelización Prime.</w:t>
            </w:r>
          </w:p>
        </w:tc>
        <w:tc>
          <w:tcPr>
            <w:tcW w:type="dxa" w:w="3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Canal principal para productos funcionales de alta rotación. Exige competitividad en precio para ganar la Buy Box.</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TikTok Shop</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Canal emergente con altísima capacidad de descubrimiento viral. Fuerte en belleza, moda y lifestyle.</w:t>
            </w:r>
          </w:p>
        </w:tc>
        <w:tc>
          <w:tcPr>
            <w:tcW w:type="dxa" w:w="3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Test de productos estéticos y de impulso. Ideal para validar contenido UGC antes de escalar.</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Instagram Shopping</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Canal aspiracional y de marca. Fuerte en belleza, cosmética y moda.</w:t>
            </w:r>
          </w:p>
        </w:tc>
        <w:tc>
          <w:tcPr>
            <w:tcW w:type="dxa" w:w="3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Validación de narrativa de marca y respuesta emocional del consumidor.</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Miravia (Grupo Alibaba)</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Emergente en moda, belleza y estilo de vida. Ecosistema ideal para marcas impulsadas por influencers.</w:t>
            </w:r>
          </w:p>
        </w:tc>
        <w:tc>
          <w:tcPr>
            <w:tcW w:type="dxa" w:w="3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Test de productos estéticos y curados con menor competencia que Amazon.</w:t>
            </w:r>
          </w:p>
        </w:tc>
      </w:tr>
      <w:tr>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Zalando / TradeInn</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Verticales dominantes en moda/calzado y deportes/outdoor respectivamente.</w:t>
            </w:r>
          </w:p>
        </w:tc>
        <w:tc>
          <w:tcPr>
            <w:tcW w:type="dxa" w:w="3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Escalado de productos validados con tracción previa en el laboratorio.</w:t>
            </w:r>
          </w:p>
        </w:tc>
      </w:tr>
      <w:tr>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Shopify propio</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Infraestructura de tienda propia con herramientas IA nativas (Shopify Magic).</w:t>
            </w:r>
          </w:p>
        </w:tc>
        <w:tc>
          <w:tcPr>
            <w:tcW w:type="dxa" w:w="3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Base central del laboratorio: control de datos, margen completo, flexibilidad máxima.</w:t>
            </w:r>
          </w:p>
        </w:tc>
      </w:tr>
    </w:tbl>
    <w:p>
      <w:pPr>
        <w:spacing w:after="80" w:before="80"/>
      </w:pPr>
      <w:r>
        <w:t xml:space="preserve"/>
      </w:r>
    </w:p>
    <w:p>
      <w:pPr>
        <w:pStyle w:val="Heading2"/>
        <w:spacing w:after="80" w:before="240"/>
      </w:pPr>
      <w:r>
        <w:rPr>
          <w:rFonts w:ascii="Arial" w:cs="Arial" w:eastAsia="Arial" w:hAnsi="Arial"/>
          <w:b/>
          <w:bCs/>
          <w:color w:val="1E293B"/>
          <w:sz w:val="24"/>
          <w:szCs w:val="24"/>
        </w:rPr>
        <w:t xml:space="preserve">3.3 Venezuela — mercado de arbitraje e importación</w:t>
      </w:r>
    </w:p>
    <w:p>
      <w:pPr>
        <w:spacing w:after="100" w:before="60"/>
      </w:pPr>
      <w:r>
        <w:rPr>
          <w:rFonts w:ascii="Arial" w:cs="Arial" w:eastAsia="Arial" w:hAnsi="Arial"/>
          <w:color w:val="1E293B"/>
          <w:sz w:val="22"/>
          <w:szCs w:val="22"/>
        </w:rPr>
        <w:t xml:space="preserve">Venezuela presenta una lógica distinta a España. No es tan favorable para estructuras ecommerce sofisticadas, pero sí para importación táctica y comercialización de productos diferenciales donde la oferta local es escasa o de menor calidad. La oportunidad radica en curación, acceso a producto, posicionamiento aspiracional y venta por canales de alta proximidad: Instagram, WhatsApp y red directa de contactos.</w:t>
      </w:r>
    </w:p>
    <w:p>
      <w:pPr>
        <w:spacing w:after="100" w:before="60"/>
      </w:pPr>
      <w:r>
        <w:rPr>
          <w:rFonts w:ascii="Arial" w:cs="Arial" w:eastAsia="Arial" w:hAnsi="Arial"/>
          <w:color w:val="1E293B"/>
          <w:sz w:val="22"/>
          <w:szCs w:val="22"/>
        </w:rPr>
        <w:t xml:space="preserve">Las barreras de entrada regulatoria (SACS para cosméticos, aranceles de importación) actúan como fosos defensivos económicos: protegen los márgenes una vez que se ha completado el proceso de autorización, porque disuaden a competidores poco sofisticados.</w:t>
      </w:r>
    </w:p>
    <w:p>
      <w:pPr>
        <w:spacing w:after="100" w:before="60"/>
      </w:pPr>
      <w:r>
        <w:rPr>
          <w:rFonts w:ascii="Arial" w:cs="Arial" w:eastAsia="Arial" w:hAnsi="Arial"/>
          <w:color w:val="1E293B"/>
          <w:sz w:val="22"/>
          <w:szCs w:val="22"/>
        </w:rPr>
        <w:t xml:space="preserve">La conclusión operativa para Venezuela es: catálogo muy corto, fuerte control de surtido, atención especial a importación, reposición, métodos de cobro y documentación. Es más un mercado de ejecución táctica y disciplina que de experimentación indiscriminada.</w:t>
      </w:r>
    </w:p>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4. Nichos de alta rentabilidad identificados</w:t>
      </w:r>
    </w:p>
    <w:p>
      <w:pPr>
        <w:pStyle w:val="Heading2"/>
        <w:spacing w:after="80" w:before="240"/>
      </w:pPr>
      <w:r>
        <w:rPr>
          <w:rFonts w:ascii="Arial" w:cs="Arial" w:eastAsia="Arial" w:hAnsi="Arial"/>
          <w:b/>
          <w:bCs/>
          <w:color w:val="1E293B"/>
          <w:sz w:val="24"/>
          <w:szCs w:val="24"/>
        </w:rPr>
        <w:t xml:space="preserve">4.1 Categorías con mayor potencial en España y LATAM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rPr>
          <w:tblHeader/>
        </w:trPr>
        <w:tc>
          <w:tcPr>
            <w:tcW w:type="dxa" w:w="20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Categoría</w:t>
            </w:r>
          </w:p>
        </w:tc>
        <w:tc>
          <w:tcPr>
            <w:tcW w:type="dxa" w:w="2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Productos destacados</w:t>
            </w:r>
          </w:p>
        </w:tc>
        <w:tc>
          <w:tcPr>
            <w:tcW w:type="dxa" w:w="23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Impulsor de demanda</w:t>
            </w:r>
          </w:p>
        </w:tc>
        <w:tc>
          <w:tcPr>
            <w:tcW w:type="dxa" w:w="2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Encaje con el portafolio</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Hogar inteligente y confort</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Cerraduras app, termos inteligentes, hornos portátiles, máquinas de soda</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Adopción tecnológica masiva. Sillas de escritorio: 68.000 búsquedas/mes.</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Alto. Bajo en identidad de marca, bueno para validación de volumen.</w:t>
            </w:r>
          </w:p>
        </w:tc>
      </w:tr>
      <w:tr>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Tecnología wearable y electrónica</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Anillos inteligentes, auriculares open-ear, rastreadores fitness, bancos de energía</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Transición de gadget-lujo a herramienta esencial.</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 para laboratorio. Bajo como caso de uso de marca.</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Cuidado de mascotas (Pet Tech)</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Comederos inteligentes, collares LED, rastreadores GPS, ropa impermeable</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Humanización masiva de mascotas. Alto volumen publicitario y margen emocional.</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Bueno para laboratorio. Posible nicho independiente si hay tracción.</w:t>
            </w:r>
          </w:p>
        </w:tc>
      </w:tr>
      <w:tr>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Sostenibilidad y economía circular</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Accesorios biodegradables, kits zero-waste, botellas reutilizables, moda de reciclados</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81% de consumidores exige responsabilidad ambiental. Marketing de bajo coste.</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Muy bueno. Encaja con moda sostenible y cosmética clean beauty.</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Salud, cuidado personal y deporte</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Dispositivos de radiofrecuencia facial, Plasma Pen, gomitas vitamínicas, accesorios pádel</w:t>
            </w:r>
          </w:p>
        </w:tc>
        <w:tc>
          <w:tcPr>
            <w:tcW w:type="dxa" w:w="2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Mercado global de bienestar valorado en 4,5 billones de dólares.</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Excelente. Conecta directamente con el caso de uso de Cosmética.</w:t>
            </w:r>
          </w:p>
        </w:tc>
      </w:tr>
      <w:tr>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Kits y bundles curados</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Kits de bienestar (wearable + suplementos + app), kits de ritual de piel, bundles aspiracionales</w:t>
            </w:r>
          </w:p>
        </w:tc>
        <w:tc>
          <w:tcPr>
            <w:tcW w:type="dxa" w:w="2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El bundling aísla el producto de la comparación directa de precio. Eleva el ticket medio.</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El modelo de mayor valor para los dos casos de uso del portafolio.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00"/>
              <w:left w:type="dxa" w:w="130"/>
              <w:bottom w:type="dxa" w:w="100"/>
              <w:right w:type="dxa" w:w="130"/>
            </w:tcMar>
          </w:tcPr>
          <w:p>
            <w:pPr>
              <w:spacing w:after="60" w:before="40"/>
            </w:pPr>
            <w:r>
              <w:rPr>
                <w:rFonts w:ascii="Arial" w:cs="Arial" w:eastAsia="Arial" w:hAnsi="Arial"/>
                <w:b/>
                <w:bCs/>
                <w:color w:val="D97706"/>
                <w:sz w:val="22"/>
                <w:szCs w:val="22"/>
              </w:rPr>
              <w:t xml:space="preserve">La disrupción está en la ejecución, no en el producto</w:t>
            </w:r>
          </w:p>
          <w:p>
            <w:pPr>
              <w:spacing w:after="40" w:before="40"/>
            </w:pPr>
            <w:r>
              <w:rPr>
                <w:rFonts w:ascii="Arial" w:cs="Arial" w:eastAsia="Arial" w:hAnsi="Arial"/>
                <w:color w:val="1E293B"/>
                <w:sz w:val="21"/>
                <w:szCs w:val="21"/>
              </w:rPr>
              <w:t xml:space="preserve">Cualquier producto innovador puede ser replicado por competidores en semanas. La ventaja sostenible viene de la ejecución: capacidad de agrupar productos en kits que ofrecen soluciones integrales, de narrar el producto mejor que nadie, de llegar antes a la audiencia correcta y de medir más rápido. El laboratorio debe aprender esto constantemente.</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5. Modelos operativos viables</w:t>
      </w:r>
    </w:p>
    <w:p>
      <w:pPr>
        <w:pStyle w:val="Heading2"/>
        <w:spacing w:after="80" w:before="240"/>
      </w:pPr>
      <w:r>
        <w:rPr>
          <w:rFonts w:ascii="Arial" w:cs="Arial" w:eastAsia="Arial" w:hAnsi="Arial"/>
          <w:b/>
          <w:bCs/>
          <w:color w:val="1E293B"/>
          <w:sz w:val="24"/>
          <w:szCs w:val="24"/>
        </w:rPr>
        <w:t xml:space="preserve">5.1 Comparativa de modelos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1560"/>
        <w:gridCol w:w="1800"/>
      </w:tblGrid>
      <w:tr>
        <w:trPr>
          <w:tblHeader/>
        </w:trPr>
        <w:tc>
          <w:tcPr>
            <w:tcW w:type="dxa" w:w="1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Modelo</w:t>
            </w:r>
          </w:p>
        </w:tc>
        <w:tc>
          <w:tcPr>
            <w:tcW w:type="dxa" w:w="2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Descripción</w:t>
            </w:r>
          </w:p>
        </w:tc>
        <w:tc>
          <w:tcPr>
            <w:tcW w:type="dxa" w:w="1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Velocidad de prueba</w:t>
            </w:r>
          </w:p>
        </w:tc>
        <w:tc>
          <w:tcPr>
            <w:tcW w:type="dxa" w:w="15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Riesgo de capital</w:t>
            </w:r>
          </w:p>
        </w:tc>
        <w:tc>
          <w:tcPr>
            <w:tcW w:type="dxa" w:w="1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Lectura estratégica</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Curación / importación táctica</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Selección de productos existentes con propuesta de valor mejor construida que la competencia actual</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Bajo — stock corto</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Ideal para detectar demanda real y sensibilidad al precio. Modelo inicial preferido.</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White label ligero</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Producto existente con marca, packaging y narrativa propios</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Media</w:t>
            </w:r>
          </w:p>
        </w:tc>
        <w:tc>
          <w:tcPr>
            <w:tcW w:type="dxa" w:w="1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Medio — MOQ necesario</w:t>
            </w:r>
          </w:p>
        </w:tc>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Construye identidad sin asumir toda la complejidad de fabricación. Paso natural tras validación.</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Dropshipping moderno</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Sin stock propio. Plataformas como DSers, Spocket, Eprolo sincronizan pedidos con proveedores EU/USA</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alta</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bajo — sin inventario</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Velocidad máxima de test. Márgenes menores. Útil para el primer ciclo de aprendizaje.</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Print-on-Demand (para moda)</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Fabricación bajo demanda por Printful, Printify o Gelato. Sin inventario textil.</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Muy alta</w:t>
            </w:r>
          </w:p>
        </w:tc>
        <w:tc>
          <w:tcPr>
            <w:tcW w:type="dxa" w:w="1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Nulo en inventario</w:t>
            </w:r>
          </w:p>
        </w:tc>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Ideal para validar diseños. Puerta de entrada al caso de uso de Moda.</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Preventa controlada</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Venta antes de comprar inventario. Exige confianza del cliente.</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w:t>
            </w:r>
          </w:p>
        </w:tc>
        <w:tc>
          <w:tcPr>
            <w:tcW w:type="dxa" w:w="1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bajo</w:t>
            </w:r>
          </w:p>
        </w:tc>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Sirve para validar interés antes de comprometer compra. Requiere gestión de expectativas de plazo.</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Bundles y kits propios</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Agrupación de productos existentes bajo una propuesta de valor integrada</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Alta</w:t>
            </w:r>
          </w:p>
        </w:tc>
        <w:tc>
          <w:tcPr>
            <w:tcW w:type="dxa" w:w="1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Bajo-medio</w:t>
            </w:r>
          </w:p>
        </w:tc>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Eleva percepción de valor, aísla de comparación de precios y aumenta ticket medio. Diferenciador clave.</w:t>
            </w:r>
          </w:p>
        </w:tc>
      </w:tr>
    </w:tbl>
    <w:p>
      <w:pPr>
        <w:spacing w:after="80" w:before="80"/>
      </w:pPr>
      <w:r>
        <w:t xml:space="preserve"/>
      </w:r>
    </w:p>
    <w:p>
      <w:pPr>
        <w:pStyle w:val="Heading2"/>
        <w:spacing w:after="80" w:before="240"/>
      </w:pPr>
      <w:r>
        <w:rPr>
          <w:rFonts w:ascii="Arial" w:cs="Arial" w:eastAsia="Arial" w:hAnsi="Arial"/>
          <w:b/>
          <w:bCs/>
          <w:color w:val="1E293B"/>
          <w:sz w:val="24"/>
          <w:szCs w:val="24"/>
        </w:rPr>
        <w:t xml:space="preserve">5.2 Infraestructura tecnológica del laboratorio</w:t>
      </w:r>
    </w:p>
    <w:p>
      <w:pPr>
        <w:spacing w:after="100" w:before="60"/>
      </w:pPr>
      <w:r>
        <w:rPr>
          <w:rFonts w:ascii="Arial" w:cs="Arial" w:eastAsia="Arial" w:hAnsi="Arial"/>
          <w:color w:val="1E293B"/>
          <w:sz w:val="22"/>
          <w:szCs w:val="22"/>
        </w:rPr>
        <w:t xml:space="preserve">La investigación identifica la siguiente arquitectura tecnológica como la más eficiente para operar el laboratorio con equipo reducido: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360"/>
        <w:gridCol w:w="2400"/>
      </w:tblGrid>
      <w:tr>
        <w:trPr>
          <w:tblHeader/>
        </w:trPr>
        <w:tc>
          <w:tcPr>
            <w:tcW w:type="dxa" w:w="1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Capa</w:t>
            </w:r>
          </w:p>
        </w:tc>
        <w:tc>
          <w:tcPr>
            <w:tcW w:type="dxa" w:w="20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Herramienta</w:t>
            </w:r>
          </w:p>
        </w:tc>
        <w:tc>
          <w:tcPr>
            <w:tcW w:type="dxa" w:w="33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Función</w:t>
            </w:r>
          </w:p>
        </w:tc>
        <w:tc>
          <w:tcPr>
            <w:tcW w:type="dxa" w:w="2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Coste orientativo</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Tienda propia</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Shopify Basic</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Plataforma central, control de datos, Shopify Magic para IA de listing</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~30–50€/mes</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Dropshipping / proveedores</w:t>
            </w:r>
          </w:p>
        </w:tc>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DSers (reemplazo oficial de Oberlo), Spocket (EU/USA), Eprolo</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Sincronización de inventarios, gestión de pedidos, reglas dinámicas de margen</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Gratis o freemium</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Detección de tendencias</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Minea, SellTheTrend</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Análisis de productos ganadores, volúmenes de ads, saturación de nicho</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~50–100€/mes</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Social commerce</w:t>
            </w:r>
          </w:p>
        </w:tc>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TikTok Shop, Instagram Shopping</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Descubrimiento algorítmico, UGC, Live Shopping, campañas de escasez</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Comisión por venta</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Print-on-Demand</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Printful o Printify</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Fabricación y envío de moda sin stock para el caso de uso de Moda</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Sin coste fijo — por pedido</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IA de diseño visual</w:t>
            </w:r>
          </w:p>
        </w:tc>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Modelia, Canva IA, ChatGPT para copy</w:t>
            </w:r>
          </w:p>
        </w:tc>
        <w:tc>
          <w:tcPr>
            <w:tcW w:type="dxa" w:w="33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Generación de creatividades, descripciones SEO, posts de redes, videos TikTok</w:t>
            </w:r>
          </w:p>
        </w:tc>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~30–100€/mes</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Ecosistema IA portafolio</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Claude Project, Gemini Pro, OpenClaw</w:t>
            </w:r>
          </w:p>
        </w:tc>
        <w:tc>
          <w:tcPr>
            <w:tcW w:type="dxa" w:w="33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Análisis estratégico, research de mercado, automatización operativa</w:t>
            </w:r>
          </w:p>
        </w:tc>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Integrado en el portafolio</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6. Arquitectura humana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rPr>
          <w:tblHeader/>
        </w:trPr>
        <w:tc>
          <w:tcPr>
            <w:tcW w:type="dxa" w:w="1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Participante</w:t>
            </w:r>
          </w:p>
        </w:tc>
        <w:tc>
          <w:tcPr>
            <w:tcW w:type="dxa" w:w="20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Rol en la línea madre</w:t>
            </w:r>
          </w:p>
        </w:tc>
        <w:tc>
          <w:tcPr>
            <w:tcW w:type="dxa" w:w="41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Funciones principales</w:t>
            </w:r>
          </w:p>
        </w:tc>
        <w:tc>
          <w:tcPr>
            <w:tcW w:type="dxa" w:w="1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Dedicación</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Susy</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Operadora principal del laboratorio</w:t>
            </w:r>
          </w:p>
        </w:tc>
        <w:tc>
          <w:tcPr>
            <w:tcW w:type="dxa" w:w="4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Investigación de productos candidatos · Gestión de tienda y listings · Procesamiento de pedidos · Relación con proveedores dropshipping · Atención al cliente · Análisis de métricas semanales</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 — rol central y prioritario</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Roberto</w:t>
            </w:r>
          </w:p>
        </w:tc>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Estrategia, capital y decisión</w:t>
            </w:r>
          </w:p>
        </w:tc>
        <w:tc>
          <w:tcPr>
            <w:tcW w:type="dxa" w:w="4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Validación de hipótesis de producto · Aprobación de presupuesto de test · Revisión de métricas de conversión · Decisión de profundizar en Cosmética o Moda · NO opera diariamente</w:t>
            </w:r>
          </w:p>
        </w:tc>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Mínima — revisión periódica</w:t>
            </w:r>
          </w:p>
        </w:tc>
      </w:tr>
      <w:tr>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Daniela</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Administración y fiscalidad</w:t>
            </w:r>
          </w:p>
        </w:tc>
        <w:tc>
          <w:tcPr>
            <w:tcW w:type="dxa" w:w="4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Control de márgenes reales · Facturación · Gestión fiscal · Documentación de importación si aplica</w:t>
            </w:r>
          </w:p>
        </w:tc>
        <w:tc>
          <w:tcPr>
            <w:tcW w:type="dxa" w:w="1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Puntual — revisión periódica</w:t>
            </w:r>
          </w:p>
        </w:tc>
      </w:tr>
      <w:tr>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Daniely</w:t>
            </w:r>
          </w:p>
        </w:tc>
        <w:tc>
          <w:tcPr>
            <w:tcW w:type="dxa" w:w="2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Amplificación para casos de uso (no en línea madre)</w:t>
            </w:r>
          </w:p>
        </w:tc>
        <w:tc>
          <w:tcPr>
            <w:tcW w:type="dxa" w:w="4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Solo cuando el laboratorio detecta un producto que conecta con su audiencia de belleza o estilo de vida. No opera en el laboratorio directamente.</w:t>
            </w:r>
          </w:p>
        </w:tc>
        <w:tc>
          <w:tcPr>
            <w:tcW w:type="dxa" w:w="1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Puntual — solo cuando hay producto validado</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7. Métricas de validación del laboratorio</w:t>
      </w:r>
    </w:p>
    <w:p>
      <w:pPr>
        <w:spacing w:after="100" w:before="60"/>
      </w:pPr>
      <w:r>
        <w:rPr>
          <w:rFonts w:ascii="Arial" w:cs="Arial" w:eastAsia="Arial" w:hAnsi="Arial"/>
          <w:color w:val="1E293B"/>
          <w:sz w:val="22"/>
          <w:szCs w:val="22"/>
        </w:rPr>
        <w:t xml:space="preserve">El laboratorio solo aprende si mide correctamente. Las siguientes métricas deben monitorizarse desde el primer día de operación, no cuando el negocio ya esté rodando.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Métrica</w:t>
            </w:r>
          </w:p>
        </w:tc>
        <w:tc>
          <w:tcPr>
            <w:tcW w:type="dxa" w:w="22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Qué mide</w:t>
            </w:r>
          </w:p>
        </w:tc>
        <w:tc>
          <w:tcPr>
            <w:tcW w:type="dxa" w:w="228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Umbral de alerta</w:t>
            </w:r>
          </w:p>
        </w:tc>
        <w:tc>
          <w:tcPr>
            <w:tcW w:type="dxa" w:w="228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Umbral de avance</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CTR del contenido orgánico</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Atracción visual del producto en feed</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&lt; 1,5%</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&gt; 3% sostenido</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Tasa de conversión de la tienda</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Ratio visitantes/compradores</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&lt; 1%</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&gt; 2,5%</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Margen bruto real por SKU</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Precio venta – coste – logística – devoluciones – CAC</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&lt; 20%</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&gt; 35% objetivo</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Tasa de devolución</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Porcentaje de pedidos devueltos</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&gt; 15%</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&lt; 5% en moda, &lt; 3% en otros</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Coste de adquisición de cliente (CAC)</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Gasto en captación / número de clientes nuevos</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CAC &gt; 50% del ticket medio</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CAC &lt; 20% del ticket medio</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Porcentaje de clientes recurrentes</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Clientes que vuelven a comprar en 90 días</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&lt; 10%</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&gt; 25%</w:t>
            </w:r>
          </w:p>
        </w:tc>
      </w:tr>
      <w:tr>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Señales de afinidad de marca</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Menciones, shares, referidos orgánicos, interacción UGC</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Ninguna en 30 días</w:t>
            </w:r>
          </w:p>
        </w:tc>
        <w:tc>
          <w:tcPr>
            <w:tcW w:type="dxa" w:w="228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 menos 5/semana en mes 2</w:t>
            </w:r>
          </w:p>
        </w:tc>
      </w:tr>
      <w:tr>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Incidencias logísticas</w:t>
            </w:r>
          </w:p>
        </w:tc>
        <w:tc>
          <w:tcPr>
            <w:tcW w:type="dxa" w:w="22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Pedidos con problema en entrega o calidad</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&gt; 10% de pedidos</w:t>
            </w:r>
          </w:p>
        </w:tc>
        <w:tc>
          <w:tcPr>
            <w:tcW w:type="dxa" w:w="228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&lt; 3% de pedidos</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8. Estructura de inversión y proyección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Concepto</w:t>
            </w:r>
          </w:p>
        </w:tc>
        <w:tc>
          <w:tcPr>
            <w:tcW w:type="dxa" w:w="232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1 (primeros 30 días)</w:t>
            </w:r>
          </w:p>
        </w:tc>
        <w:tc>
          <w:tcPr>
            <w:tcW w:type="dxa" w:w="232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2 (30–90 días)</w:t>
            </w:r>
          </w:p>
        </w:tc>
        <w:tc>
          <w:tcPr>
            <w:tcW w:type="dxa" w:w="232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Fase 3 (90 días+)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Tienda Shopify</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~30€/mes</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~30€/mes</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~50–80€/mes con apps adicionales</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Herramientas de detección (Minea, etc.)</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~50–100€ (opcional en inicio)</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~50–100€/mes</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~100–150€/mes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Stock / primer lote de prueba</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300–800€ (catálogo muy corto)</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500–1.500€ (categorías validadas)</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Según caso de uso que escale</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Contenido y creatividades</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~0€ orgánico + IA</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~50–150€/mes en herramientas</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Escalado según resultados</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Marketing pagado (opcional fase 1)</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0€ — orgánico primero</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~100–300€ test controlado</w:t>
            </w:r>
          </w:p>
        </w:tc>
        <w:tc>
          <w:tcPr>
            <w:tcW w:type="dxa" w:w="232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Según ROAS validado</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Total orientativo</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~400–1.000€</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~800–2.500€</w:t>
            </w:r>
          </w:p>
        </w:tc>
        <w:tc>
          <w:tcPr>
            <w:tcW w:type="dxa" w:w="232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Según caso de uso activado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Período</w:t>
            </w:r>
          </w:p>
        </w:tc>
        <w:tc>
          <w:tcPr>
            <w:tcW w:type="dxa" w:w="39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Métrica mínima del laboratorio</w:t>
            </w:r>
          </w:p>
        </w:tc>
        <w:tc>
          <w:tcPr>
            <w:tcW w:type="dxa" w:w="3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Condición para activar un caso de uso</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30 días</w:t>
            </w:r>
          </w:p>
        </w:tc>
        <w:tc>
          <w:tcPr>
            <w:tcW w:type="dxa" w:w="3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Tienda activa. 1 categoría testeada. Primera venta real. Margen real calculado.</w:t>
            </w:r>
          </w:p>
        </w:tc>
        <w:tc>
          <w:tcPr>
            <w:tcW w:type="dxa" w:w="3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No aplica — el laboratorio está en fase de aprendizaje inicial.</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60 días</w:t>
            </w:r>
          </w:p>
        </w:tc>
        <w:tc>
          <w:tcPr>
            <w:tcW w:type="dxa" w:w="3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 menos 1 producto con CTR &gt; 3% y margen &gt; 30%. Canal de captación identificado.</w:t>
            </w:r>
          </w:p>
        </w:tc>
        <w:tc>
          <w:tcPr>
            <w:tcW w:type="dxa" w:w="3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Comenzar investigación de proveedor para Cosmética si señales de belleza/perfumería son fuertes.</w:t>
            </w:r>
          </w:p>
        </w:tc>
      </w:tr>
      <w:tr>
        <w:tc>
          <w:tcPr>
            <w:tcW w:type="dxa" w:w="1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90 días</w:t>
            </w:r>
          </w:p>
        </w:tc>
        <w:tc>
          <w:tcPr>
            <w:tcW w:type="dxa" w:w="39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Ingresos mensuales de 500–1.500€. Tasa de conversión validada. Primer cliente recurrente.</w:t>
            </w:r>
          </w:p>
        </w:tc>
        <w:tc>
          <w:tcPr>
            <w:tcW w:type="dxa" w:w="3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Autorizar apertura del caso de uso con mayor señal de mercado: Cosmética o Moda.</w:t>
            </w:r>
          </w:p>
        </w:tc>
      </w:tr>
      <w:tr>
        <w:tc>
          <w:tcPr>
            <w:tcW w:type="dxa" w:w="1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Mes 6+</w:t>
            </w:r>
          </w:p>
        </w:tc>
        <w:tc>
          <w:tcPr>
            <w:tcW w:type="dxa" w:w="39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Ingresos estables 1.500–3.000€/mes. Dos canales activos (orgánico + marketplace).</w:t>
            </w:r>
          </w:p>
        </w:tc>
        <w:tc>
          <w:tcPr>
            <w:tcW w:type="dxa" w:w="3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Caso de uso activo generando sus propios ingresos. Laboratorio busca nuevo nicho.</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9. Sinergias entre la línea madre y los casos de uso</w:t>
      </w:r>
    </w:p>
    <w:p>
      <w:pPr>
        <w:pStyle w:val="Heading2"/>
        <w:spacing w:after="80" w:before="240"/>
      </w:pPr>
      <w:r>
        <w:rPr>
          <w:rFonts w:ascii="Arial" w:cs="Arial" w:eastAsia="Arial" w:hAnsi="Arial"/>
          <w:b/>
          <w:bCs/>
          <w:color w:val="1E293B"/>
          <w:sz w:val="24"/>
          <w:szCs w:val="24"/>
        </w:rPr>
        <w:t xml:space="preserve">9.1 El laboratorio como radar de tendencias para Cosmética</w:t>
      </w:r>
    </w:p>
    <w:p>
      <w:pPr>
        <w:spacing w:after="100" w:before="60"/>
      </w:pPr>
      <w:r>
        <w:rPr>
          <w:rFonts w:ascii="Arial" w:cs="Arial" w:eastAsia="Arial" w:hAnsi="Arial"/>
          <w:color w:val="1E293B"/>
          <w:sz w:val="22"/>
          <w:szCs w:val="22"/>
        </w:rPr>
        <w:t xml:space="preserve">Si el laboratorio detecta mediante herramientas como Minea o SellTheTrend un incremento desproporcionado en ventas de accesorios de cuidado facial (rodillos de crioterapia, limpiadores ultrasónicos, tecnología LED), esta inteligencia se transfiere inmediatamente a Cosmética. La marca de Daniely absorbe categorías ya validadas financieramente, eliminando el riesgo de especulación en el desarrollo del catálogo.</w:t>
      </w:r>
    </w:p>
    <w:p>
      <w:pPr>
        <w:pStyle w:val="Heading2"/>
        <w:spacing w:after="80" w:before="240"/>
      </w:pPr>
      <w:r>
        <w:rPr>
          <w:rFonts w:ascii="Arial" w:cs="Arial" w:eastAsia="Arial" w:hAnsi="Arial"/>
          <w:b/>
          <w:bCs/>
          <w:color w:val="1E293B"/>
          <w:sz w:val="24"/>
          <w:szCs w:val="24"/>
        </w:rPr>
        <w:t xml:space="preserve">9.2 El laboratorio como inteligencia de diseño para Moda</w:t>
      </w:r>
    </w:p>
    <w:p>
      <w:pPr>
        <w:spacing w:after="100" w:before="60"/>
      </w:pPr>
      <w:r>
        <w:rPr>
          <w:rFonts w:ascii="Arial" w:cs="Arial" w:eastAsia="Arial" w:hAnsi="Arial"/>
          <w:color w:val="1E293B"/>
          <w:sz w:val="22"/>
          <w:szCs w:val="22"/>
        </w:rPr>
        <w:t xml:space="preserve">Lo que el laboratorio descubre sobre qué estética convierte, qué copies activan la compra y qué audiencias responden mejor sirve directamente para afinar el diseño y la narrativa de las cápsulas de Moda. Si un diseño o categoría textil muestra alta respuesta en el laboratorio, la línea de Moda lo profundiza con mayor identidad y margen.</w:t>
      </w:r>
    </w:p>
    <w:p>
      <w:pPr>
        <w:pStyle w:val="Heading2"/>
        <w:spacing w:after="80" w:before="240"/>
      </w:pPr>
      <w:r>
        <w:rPr>
          <w:rFonts w:ascii="Arial" w:cs="Arial" w:eastAsia="Arial" w:hAnsi="Arial"/>
          <w:b/>
          <w:bCs/>
          <w:color w:val="1E293B"/>
          <w:sz w:val="24"/>
          <w:szCs w:val="24"/>
        </w:rPr>
        <w:t xml:space="preserve">9.3 Cobertura geográfica y estabilización de caja</w:t>
      </w:r>
    </w:p>
    <w:p>
      <w:pPr>
        <w:spacing w:after="100" w:before="60"/>
      </w:pPr>
      <w:r>
        <w:rPr>
          <w:rFonts w:ascii="Arial" w:cs="Arial" w:eastAsia="Arial" w:hAnsi="Arial"/>
          <w:color w:val="1E293B"/>
          <w:sz w:val="22"/>
          <w:szCs w:val="22"/>
        </w:rPr>
        <w:t xml:space="preserve">La exposición dual a España (mercado de validación digital maduro) y Venezuela (mercado de arbitraje con menor saturación) otorga cobertura natural contra la volatilidad económica regional. Los flujos continuos generados por el dropshipping sin stock en España pueden financiar los lotes de importación más intensivos en capital de Venezuela.</w:t>
      </w:r>
    </w:p>
    <w:p>
      <w:pPr>
        <w:pStyle w:val="Heading2"/>
        <w:spacing w:after="80" w:before="240"/>
      </w:pPr>
      <w:r>
        <w:rPr>
          <w:rFonts w:ascii="Arial" w:cs="Arial" w:eastAsia="Arial" w:hAnsi="Arial"/>
          <w:b/>
          <w:bCs/>
          <w:color w:val="1E293B"/>
          <w:sz w:val="24"/>
          <w:szCs w:val="24"/>
        </w:rPr>
        <w:t xml:space="preserve">9.4 Ecosistema IA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Herramienta</w:t>
            </w:r>
          </w:p>
        </w:tc>
        <w:tc>
          <w:tcPr>
            <w:tcW w:type="dxa" w:w="65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Uso en la línea madre</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Claude Project</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Análisis estratégico de oportunidades, síntesis de investigación de mercado, generación de documentos ejecutivos, redacción de hipótesis de producto</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Gemini Pro</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Research actualizado: tendencias de nicho, benchmarks competitivos, precios de referencia, análisis de plataformas y proveedores</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OpenClaw — ATLAS</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Research de plataformas de venta, herramientas de dropshipping, análisis de competidores por categoría</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OpenClaw — FORGE</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Generación batch de descripciones de producto con SEO, copies de anuncio, posts de redes, fichas de proveedor</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OpenClaw — ECHO</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Triage de mensajes de clientes, clasificación de consultas, captura de ideas de producto a partir de interacciones</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Shopify Magic</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Redacción SEO de listings, automatización de back-office, asistente conversacional de la tienda</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Minea / SellTheTrend</w:t>
            </w:r>
          </w:p>
        </w:tc>
        <w:tc>
          <w:tcPr>
            <w:tcW w:type="dxa" w:w="6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Detección de productos ganadores, análisis de volúmenes publicitarios, benchmarks de saturación de nicho</w:t>
            </w:r>
          </w:p>
        </w:tc>
      </w:tr>
      <w:tr>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NotebookLM</w:t>
            </w:r>
          </w:p>
        </w:tc>
        <w:tc>
          <w:tcPr>
            <w:tcW w:type="dxa" w:w="6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Archivo de hipótesis validadas e invalidadas, proveedores evaluados, actas de revisión, evolución de métricas del laboratorio</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10. Registro de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160"/>
        <w:gridCol w:w="2800"/>
      </w:tblGrid>
      <w:tr>
        <w:trPr>
          <w:tblHeader/>
        </w:trPr>
        <w:tc>
          <w:tcPr>
            <w:tcW w:type="dxa" w:w="2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Riesgo</w:t>
            </w:r>
          </w:p>
        </w:tc>
        <w:tc>
          <w:tcPr>
            <w:tcW w:type="dxa" w:w="10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Impacto</w:t>
            </w:r>
          </w:p>
        </w:tc>
        <w:tc>
          <w:tcPr>
            <w:tcW w:type="dxa" w:w="31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Descripción</w:t>
            </w:r>
          </w:p>
        </w:tc>
        <w:tc>
          <w:tcPr>
            <w:tcW w:type="dxa" w:w="28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Mitigación</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Dispersión estratégica</w:t>
            </w:r>
          </w:p>
        </w:tc>
        <w:tc>
          <w:tcPr>
            <w:tcW w:type="dxa" w:w="1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Muy alto</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Intentar operar tres frentes completos simultáneamente. El laboratorio pierde su función de filtro.</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Una sola línea madre con tesis clara. Casos de uso se activan secuencialmente, no en paralelo.</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Falta de hipótesis de validación</w:t>
            </w:r>
          </w:p>
        </w:tc>
        <w:tc>
          <w:tcPr>
            <w:tcW w:type="dxa" w:w="1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3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Lanzar productos sin criterios de corte. El laboratorio no aprende porque no tiene métricas objetivo.</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Definir para cada test: umbral de CTR, margen mínimo y plazo de evaluación antes de lanzar.</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Sobrestock / inventario muerto</w:t>
            </w:r>
          </w:p>
        </w:tc>
        <w:tc>
          <w:tcPr>
            <w:tcW w:type="dxa" w:w="1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Comprar inventario antes de validar demanda. Especialmente crítico en moda.</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Catálogo máximo de 3–5 SKUs en Fase 1. Dropshipping y POD antes de cualquier compra física.</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Márgenes irreales por subestimación de costes</w:t>
            </w:r>
          </w:p>
        </w:tc>
        <w:tc>
          <w:tcPr>
            <w:tcW w:type="dxa" w:w="1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3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No incluir devoluciones, logística, CAC o merma en el cálculo de unit economics.</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Calcular margen real completo antes de escalar cualquier SKU. Nunca escalar sin haber sufrido una devolución.</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Incumplimiento regulatorio en cosmética</w:t>
            </w:r>
          </w:p>
        </w:tc>
        <w:tc>
          <w:tcPr>
            <w:tcW w:type="dxa" w:w="1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Vender cosméticos importados sin revisar CPNP en UE o SACS en Venezuela.</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Validación regulatoria previa obligatoria. No lanzar en cosmética sin soporte de proveedor conforme.</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Dependencia de proveedor único sin alternativa</w:t>
            </w:r>
          </w:p>
        </w:tc>
        <w:tc>
          <w:tcPr>
            <w:tcW w:type="dxa" w:w="1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Medio</w:t>
            </w:r>
          </w:p>
        </w:tc>
        <w:tc>
          <w:tcPr>
            <w:tcW w:type="dxa" w:w="3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Si el proveedor falla, el laboratorio se para.</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Identificar al menos un proveedor alternativo por categoría desde el inicio.</w:t>
            </w:r>
          </w:p>
        </w:tc>
      </w:tr>
      <w:tr>
        <w:tc>
          <w:tcPr>
            <w:tcW w:type="dxa" w:w="2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Confundir contenido bonito con demanda real</w:t>
            </w:r>
          </w:p>
        </w:tc>
        <w:tc>
          <w:tcPr>
            <w:tcW w:type="dxa" w:w="10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Medio-alto</w:t>
            </w:r>
          </w:p>
        </w:tc>
        <w:tc>
          <w:tcPr>
            <w:tcW w:type="dxa" w:w="31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Un producto puede gustar en redes pero no vender. El laboratorio puede sesgar a favor de lo viral.</w:t>
            </w:r>
          </w:p>
        </w:tc>
        <w:tc>
          <w:tcPr>
            <w:tcW w:type="dxa" w:w="28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Los criterios de avance son siempre financieros: conversión + margen, no solo likes o impresiones.</w:t>
            </w:r>
          </w:p>
        </w:tc>
      </w:tr>
      <w:tr>
        <w:tc>
          <w:tcPr>
            <w:tcW w:type="dxa" w:w="2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Susy sobrecargada si los casos de uso se activan antes de que el laboratorio esté estable</w:t>
            </w:r>
          </w:p>
        </w:tc>
        <w:tc>
          <w:tcPr>
            <w:tcW w:type="dxa" w:w="10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Alto</w:t>
            </w:r>
          </w:p>
        </w:tc>
        <w:tc>
          <w:tcPr>
            <w:tcW w:type="dxa" w:w="31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Susy opera tres líneas sin poder hacer bien ninguna.</w:t>
            </w:r>
          </w:p>
        </w:tc>
        <w:tc>
          <w:tcPr>
            <w:tcW w:type="dxa" w:w="28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Los casos de uso solo se activan cuando el laboratorio tiene ingresos mensuales estables. Regla de secuencia estricta.</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11. Decisiones pendientes antes de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560"/>
        <w:gridCol w:w="1400"/>
      </w:tblGrid>
      <w:tr>
        <w:trPr>
          <w:tblHeader/>
        </w:trPr>
        <w:tc>
          <w:tcPr>
            <w:tcW w:type="dxa" w:w="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w:t>
            </w:r>
          </w:p>
        </w:tc>
        <w:tc>
          <w:tcPr>
            <w:tcW w:type="dxa" w:w="26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Decisión</w:t>
            </w:r>
          </w:p>
        </w:tc>
        <w:tc>
          <w:tcPr>
            <w:tcW w:type="dxa" w:w="356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Opciones</w:t>
            </w:r>
          </w:p>
        </w:tc>
        <w:tc>
          <w:tcPr>
            <w:tcW w:type="dxa" w:w="1400"/>
            <w:tcBorders>
              <w:top w:val="single" w:color="FFFFFF" w:sz="1"/>
              <w:left w:val="single" w:color="FFFFFF" w:sz="1"/>
              <w:bottom w:val="single" w:color="FFFFFF" w:sz="1"/>
              <w:right w:val="single" w:color="FFFFFF" w:sz="1"/>
            </w:tcBorders>
            <w:shd w:fill="D97706" w:val="clear"/>
            <w:tcMar>
              <w:top w:type="dxa" w:w="100"/>
              <w:left w:type="dxa" w:w="130"/>
              <w:bottom w:type="dxa" w:w="100"/>
              <w:right w:type="dxa" w:w="130"/>
            </w:tcMar>
            <w:vAlign w:val="center"/>
          </w:tcPr>
          <w:p>
            <w:r>
              <w:rPr>
                <w:rFonts w:ascii="Arial" w:cs="Arial" w:eastAsia="Arial" w:hAnsi="Arial"/>
                <w:b/>
                <w:bCs/>
                <w:color w:val="FFFFFF"/>
                <w:sz w:val="20"/>
                <w:szCs w:val="20"/>
              </w:rPr>
              <w:t xml:space="preserve">Prioridad</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1</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categoría concreta lanzará primero el laboratorio</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Salud/bienestar · Pet Tech · Hogar inteligente · Accesorios electrónica · Bundle mixto</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2</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Qué mercado será el primero de validación comercial</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España · Venezuela · piloto dual muy controlado con catálogos distintos</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3</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operadora llevará el día a día del laboratorio</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Susy a tiempo completo · Susy parcial + soporte externo</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CRÍTICA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4</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Qué rango de precio se quiere defender</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Entry premium (30–80€ ticket) · Aspiracional accesible (80–200€) · Ticket medio elevado (200€+)</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5</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modelo de fulfillment usar en Fase 1</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Dropshipping puro · Stock corto propio · Preventa controlada · Combinación</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6</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Qué plataforma será la central del laboratorio</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Shopify propio · Amazon como canal principal · TikTok Shop · Combinación</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ALTA</w:t>
            </w:r>
          </w:p>
        </w:tc>
      </w:tr>
      <w:tr>
        <w:tc>
          <w:tcPr>
            <w:tcW w:type="dxa" w:w="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7</w:t>
            </w:r>
          </w:p>
        </w:tc>
        <w:tc>
          <w:tcPr>
            <w:tcW w:type="dxa" w:w="26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Qué herramientas de detección de tendencias contratar desde el inicio</w:t>
            </w:r>
          </w:p>
        </w:tc>
        <w:tc>
          <w:tcPr>
            <w:tcW w:type="dxa" w:w="356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Minea · SellTheTrend · Eprolo · Combinación</w:t>
            </w:r>
          </w:p>
        </w:tc>
        <w:tc>
          <w:tcPr>
            <w:tcW w:type="dxa" w:w="1400"/>
            <w:tcBorders>
              <w:top w:val="single" w:color="E5E7EB" w:sz="1"/>
              <w:left w:val="single" w:color="E5E7EB" w:sz="1"/>
              <w:bottom w:val="single" w:color="E5E7EB" w:sz="1"/>
              <w:right w:val="single" w:color="E5E7EB" w:sz="1"/>
            </w:tcBorders>
            <w:shd w:fill="F8FAFC" w:val="clear"/>
            <w:tcMar>
              <w:top w:type="dxa" w:w="100"/>
              <w:left w:type="dxa" w:w="130"/>
              <w:bottom w:type="dxa" w:w="100"/>
              <w:right w:type="dxa" w:w="130"/>
            </w:tcMar>
          </w:tcPr>
          <w:p>
            <w:r>
              <w:rPr>
                <w:rFonts w:ascii="Arial" w:cs="Arial" w:eastAsia="Arial" w:hAnsi="Arial"/>
                <w:color w:val="1E293B"/>
                <w:sz w:val="20"/>
                <w:szCs w:val="20"/>
              </w:rPr>
              <w:t xml:space="preserve">MEDIA</w:t>
            </w:r>
          </w:p>
        </w:tc>
      </w:tr>
      <w:tr>
        <w:tc>
          <w:tcPr>
            <w:tcW w:type="dxa" w:w="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8</w:t>
            </w:r>
          </w:p>
        </w:tc>
        <w:tc>
          <w:tcPr>
            <w:tcW w:type="dxa" w:w="26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Qué marca o naming se activará primero</w:t>
            </w:r>
          </w:p>
        </w:tc>
        <w:tc>
          <w:tcPr>
            <w:tcW w:type="dxa" w:w="356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Marca unificada · Submarca por caso de uso · Fase anónima de test sin marca</w:t>
            </w:r>
          </w:p>
        </w:tc>
        <w:tc>
          <w:tcPr>
            <w:tcW w:type="dxa" w:w="1400"/>
            <w:tcBorders>
              <w:top w:val="single" w:color="E5E7EB" w:sz="1"/>
              <w:left w:val="single" w:color="E5E7EB" w:sz="1"/>
              <w:bottom w:val="single" w:color="E5E7EB" w:sz="1"/>
              <w:right w:val="single" w:color="E5E7EB" w:sz="1"/>
            </w:tcBorders>
            <w:shd w:fill="F1F5F9" w:val="clear"/>
            <w:tcMar>
              <w:top w:type="dxa" w:w="100"/>
              <w:left w:type="dxa" w:w="130"/>
              <w:bottom w:type="dxa" w:w="100"/>
              <w:right w:type="dxa" w:w="130"/>
            </w:tcMar>
          </w:tcPr>
          <w:p>
            <w:r>
              <w:rPr>
                <w:rFonts w:ascii="Arial" w:cs="Arial" w:eastAsia="Arial" w:hAnsi="Arial"/>
                <w:color w:val="1E293B"/>
                <w:sz w:val="20"/>
                <w:szCs w:val="20"/>
              </w:rPr>
              <w:t xml:space="preserve">MEDIA</w:t>
            </w:r>
          </w:p>
        </w:tc>
      </w:tr>
    </w:tbl>
    <w:p>
      <w:pPr>
        <w:spacing w:after="80" w:before="80"/>
      </w:pPr>
      <w:r>
        <w:t xml:space="preserve"/>
      </w:r>
    </w:p>
    <w:p>
      <w:r>
        <w:br w:type="page"/>
      </w:r>
    </w:p>
    <w:p>
      <w:pPr>
        <w:pStyle w:val="Heading1"/>
        <w:pBdr>
          <w:bottom w:val="single" w:color="D97706" w:sz="6" w:space="4"/>
        </w:pBdr>
        <w:spacing w:after="100" w:before="320"/>
      </w:pPr>
      <w:r>
        <w:rPr>
          <w:rFonts w:ascii="Arial" w:cs="Arial" w:eastAsia="Arial" w:hAnsi="Arial"/>
          <w:b/>
          <w:bCs/>
          <w:color w:val="D97706"/>
          <w:sz w:val="30"/>
          <w:szCs w:val="30"/>
        </w:rPr>
        <w:t xml:space="preserve">12. Roadmap de activación</w:t>
      </w:r>
    </w:p>
    <w:p>
      <w:pPr>
        <w:pStyle w:val="Heading2"/>
        <w:spacing w:after="80" w:before="240"/>
      </w:pPr>
      <w:r>
        <w:rPr>
          <w:rFonts w:ascii="Arial" w:cs="Arial" w:eastAsia="Arial" w:hAnsi="Arial"/>
          <w:b/>
          <w:bCs/>
          <w:color w:val="1E293B"/>
          <w:sz w:val="24"/>
          <w:szCs w:val="24"/>
        </w:rPr>
        <w:t xml:space="preserve">Primeros 30 días — Montaje del laboratorio</w:t>
      </w:r>
    </w:p>
    <w:p>
      <w:pPr>
        <w:pStyle w:val="ListParagraph"/>
        <w:numPr>
          <w:ilvl w:val="0"/>
          <w:numId w:val="2"/>
        </w:numPr>
        <w:spacing w:after="60" w:before="40"/>
      </w:pPr>
      <w:r>
        <w:rPr>
          <w:rFonts w:ascii="Arial" w:cs="Arial" w:eastAsia="Arial" w:hAnsi="Arial"/>
          <w:color w:val="1E293B"/>
          <w:sz w:val="22"/>
          <w:szCs w:val="22"/>
        </w:rPr>
        <w:t xml:space="preserve">Elegir un único frente inicial de validación dentro del laboratorio. Una sola hipótesis de producto o categoría.</w:t>
      </w:r>
    </w:p>
    <w:p>
      <w:pPr>
        <w:pStyle w:val="ListParagraph"/>
        <w:numPr>
          <w:ilvl w:val="0"/>
          <w:numId w:val="2"/>
        </w:numPr>
        <w:spacing w:after="60" w:before="40"/>
      </w:pPr>
      <w:r>
        <w:rPr>
          <w:rFonts w:ascii="Arial" w:cs="Arial" w:eastAsia="Arial" w:hAnsi="Arial"/>
          <w:color w:val="1E293B"/>
          <w:sz w:val="22"/>
          <w:szCs w:val="22"/>
        </w:rPr>
        <w:t xml:space="preserve">Construir shortlist de productos/proveedores y calcular margen real completo (precio + flete + devolución esperada + CAC cero orgánico).</w:t>
      </w:r>
    </w:p>
    <w:p>
      <w:pPr>
        <w:pStyle w:val="ListParagraph"/>
        <w:numPr>
          <w:ilvl w:val="0"/>
          <w:numId w:val="2"/>
        </w:numPr>
        <w:spacing w:after="60" w:before="40"/>
      </w:pPr>
      <w:r>
        <w:rPr>
          <w:rFonts w:ascii="Arial" w:cs="Arial" w:eastAsia="Arial" w:hAnsi="Arial"/>
          <w:color w:val="1E293B"/>
          <w:sz w:val="22"/>
          <w:szCs w:val="22"/>
        </w:rPr>
        <w:t xml:space="preserve">Definir pricing tentativo, canal primario (Shopify + TikTok o Amazon) y sistema de test.</w:t>
      </w:r>
    </w:p>
    <w:p>
      <w:pPr>
        <w:pStyle w:val="ListParagraph"/>
        <w:numPr>
          <w:ilvl w:val="0"/>
          <w:numId w:val="2"/>
        </w:numPr>
        <w:spacing w:after="60" w:before="40"/>
      </w:pPr>
      <w:r>
        <w:rPr>
          <w:rFonts w:ascii="Arial" w:cs="Arial" w:eastAsia="Arial" w:hAnsi="Arial"/>
          <w:color w:val="1E293B"/>
          <w:sz w:val="22"/>
          <w:szCs w:val="22"/>
        </w:rPr>
        <w:t xml:space="preserve">Configurar Shopify con los 3–5 primeros SKUs. Integrar Printful o DSers si aplica.</w:t>
      </w:r>
    </w:p>
    <w:p>
      <w:pPr>
        <w:pStyle w:val="ListParagraph"/>
        <w:numPr>
          <w:ilvl w:val="0"/>
          <w:numId w:val="2"/>
        </w:numPr>
        <w:spacing w:after="60" w:before="40"/>
      </w:pPr>
      <w:r>
        <w:rPr>
          <w:rFonts w:ascii="Arial" w:cs="Arial" w:eastAsia="Arial" w:hAnsi="Arial"/>
          <w:color w:val="1E293B"/>
          <w:sz w:val="22"/>
          <w:szCs w:val="22"/>
        </w:rPr>
        <w:t xml:space="preserve">Preparar primera landing simple y un set de creatividades orgánicas básicas.</w:t>
      </w:r>
    </w:p>
    <w:p>
      <w:pPr>
        <w:pStyle w:val="ListParagraph"/>
        <w:numPr>
          <w:ilvl w:val="0"/>
          <w:numId w:val="2"/>
        </w:numPr>
        <w:spacing w:after="60" w:before="40"/>
      </w:pPr>
      <w:r>
        <w:rPr>
          <w:rFonts w:ascii="Arial" w:cs="Arial" w:eastAsia="Arial" w:hAnsi="Arial"/>
          <w:color w:val="1E293B"/>
          <w:sz w:val="22"/>
          <w:szCs w:val="22"/>
        </w:rPr>
        <w:t xml:space="preserve">Lanzar la primera prueba comercial. Medir desde el primer día.</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De 31 a 60 días — Primera lectura del mercado</w:t>
      </w:r>
    </w:p>
    <w:p>
      <w:pPr>
        <w:pStyle w:val="ListParagraph"/>
        <w:numPr>
          <w:ilvl w:val="0"/>
          <w:numId w:val="2"/>
        </w:numPr>
        <w:spacing w:after="60" w:before="40"/>
      </w:pPr>
      <w:r>
        <w:rPr>
          <w:rFonts w:ascii="Arial" w:cs="Arial" w:eastAsia="Arial" w:hAnsi="Arial"/>
          <w:color w:val="1E293B"/>
          <w:sz w:val="22"/>
          <w:szCs w:val="22"/>
        </w:rPr>
        <w:t xml:space="preserve">Analizar resultados: CTR, conversión, margen real, devoluciones y feedback de clientes.</w:t>
      </w:r>
    </w:p>
    <w:p>
      <w:pPr>
        <w:pStyle w:val="ListParagraph"/>
        <w:numPr>
          <w:ilvl w:val="0"/>
          <w:numId w:val="2"/>
        </w:numPr>
        <w:spacing w:after="60" w:before="40"/>
      </w:pPr>
      <w:r>
        <w:rPr>
          <w:rFonts w:ascii="Arial" w:cs="Arial" w:eastAsia="Arial" w:hAnsi="Arial"/>
          <w:color w:val="1E293B"/>
          <w:sz w:val="22"/>
          <w:szCs w:val="22"/>
        </w:rPr>
        <w:t xml:space="preserve">Descartar rápido lo que no alcanza el umbral. Profundizar en lo que sí lo supera.</w:t>
      </w:r>
    </w:p>
    <w:p>
      <w:pPr>
        <w:pStyle w:val="ListParagraph"/>
        <w:numPr>
          <w:ilvl w:val="0"/>
          <w:numId w:val="2"/>
        </w:numPr>
        <w:spacing w:after="60" w:before="40"/>
      </w:pPr>
      <w:r>
        <w:rPr>
          <w:rFonts w:ascii="Arial" w:cs="Arial" w:eastAsia="Arial" w:hAnsi="Arial"/>
          <w:color w:val="1E293B"/>
          <w:sz w:val="22"/>
          <w:szCs w:val="22"/>
        </w:rPr>
        <w:t xml:space="preserve">Validar si el caso de uso de Cosmética tiene señales suficientes para investigar proveedor y regulación.</w:t>
      </w:r>
    </w:p>
    <w:p>
      <w:pPr>
        <w:pStyle w:val="ListParagraph"/>
        <w:numPr>
          <w:ilvl w:val="0"/>
          <w:numId w:val="2"/>
        </w:numPr>
        <w:spacing w:after="60" w:before="40"/>
      </w:pPr>
      <w:r>
        <w:rPr>
          <w:rFonts w:ascii="Arial" w:cs="Arial" w:eastAsia="Arial" w:hAnsi="Arial"/>
          <w:color w:val="1E293B"/>
          <w:sz w:val="22"/>
          <w:szCs w:val="22"/>
        </w:rPr>
        <w:t xml:space="preserve">Evaluar si hay una cápsula de Moda/POD que no distrae del aprendizaje principal y puede testearse en paralelo de forma muy ligera.</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De 61 a 90 días — Primera decisión estratégica</w:t>
      </w:r>
    </w:p>
    <w:p>
      <w:pPr>
        <w:pStyle w:val="ListParagraph"/>
        <w:numPr>
          <w:ilvl w:val="0"/>
          <w:numId w:val="2"/>
        </w:numPr>
        <w:spacing w:after="60" w:before="40"/>
      </w:pPr>
      <w:r>
        <w:rPr>
          <w:rFonts w:ascii="Arial" w:cs="Arial" w:eastAsia="Arial" w:hAnsi="Arial"/>
          <w:color w:val="1E293B"/>
          <w:sz w:val="22"/>
          <w:szCs w:val="22"/>
        </w:rPr>
        <w:t xml:space="preserve">Tomar decisión de continuidad, pivote o profundización basada en métricas, no en intuición.</w:t>
      </w:r>
    </w:p>
    <w:p>
      <w:pPr>
        <w:pStyle w:val="ListParagraph"/>
        <w:numPr>
          <w:ilvl w:val="0"/>
          <w:numId w:val="2"/>
        </w:numPr>
        <w:spacing w:after="60" w:before="40"/>
      </w:pPr>
      <w:r>
        <w:rPr>
          <w:rFonts w:ascii="Arial" w:cs="Arial" w:eastAsia="Arial" w:hAnsi="Arial"/>
          <w:color w:val="1E293B"/>
          <w:sz w:val="22"/>
          <w:szCs w:val="22"/>
        </w:rPr>
        <w:t xml:space="preserve">Formalizar el caso de uso ganador si hay señales claras: iniciar proceso de selección de proveedor cosmético o primer diseño POD de moda.</w:t>
      </w:r>
    </w:p>
    <w:p>
      <w:pPr>
        <w:pStyle w:val="ListParagraph"/>
        <w:numPr>
          <w:ilvl w:val="0"/>
          <w:numId w:val="2"/>
        </w:numPr>
        <w:spacing w:after="60" w:before="40"/>
      </w:pPr>
      <w:r>
        <w:rPr>
          <w:rFonts w:ascii="Arial" w:cs="Arial" w:eastAsia="Arial" w:hAnsi="Arial"/>
          <w:color w:val="1E293B"/>
          <w:sz w:val="22"/>
          <w:szCs w:val="22"/>
        </w:rPr>
        <w:t xml:space="preserve">Definir roadmap del siguiente trimestre con base en resultados reales del laboratorio.</w:t>
      </w:r>
    </w:p>
    <w:p>
      <w:pPr>
        <w:pStyle w:val="ListParagraph"/>
        <w:numPr>
          <w:ilvl w:val="0"/>
          <w:numId w:val="2"/>
        </w:numPr>
        <w:spacing w:after="60" w:before="40"/>
      </w:pPr>
      <w:r>
        <w:rPr>
          <w:rFonts w:ascii="Arial" w:cs="Arial" w:eastAsia="Arial" w:hAnsi="Arial"/>
          <w:color w:val="1E293B"/>
          <w:sz w:val="22"/>
          <w:szCs w:val="22"/>
        </w:rPr>
        <w:t xml:space="preserve">Subir resumen de aprendizajes a NotebookLM como 'Ecommerce-Aprendizajes-Q1'.</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Mes 3–6 — Primer caso de uso activo</w:t>
      </w:r>
    </w:p>
    <w:p>
      <w:pPr>
        <w:pStyle w:val="ListParagraph"/>
        <w:numPr>
          <w:ilvl w:val="0"/>
          <w:numId w:val="2"/>
        </w:numPr>
        <w:spacing w:after="60" w:before="40"/>
      </w:pPr>
      <w:r>
        <w:rPr>
          <w:rFonts w:ascii="Arial" w:cs="Arial" w:eastAsia="Arial" w:hAnsi="Arial"/>
          <w:color w:val="1E293B"/>
          <w:sz w:val="22"/>
          <w:szCs w:val="22"/>
        </w:rPr>
        <w:t xml:space="preserve">El caso de uso con mayor señal de mercado se activa con su propio documento de proyecto y operadora designada.</w:t>
      </w:r>
    </w:p>
    <w:p>
      <w:pPr>
        <w:pStyle w:val="ListParagraph"/>
        <w:numPr>
          <w:ilvl w:val="0"/>
          <w:numId w:val="2"/>
        </w:numPr>
        <w:spacing w:after="60" w:before="40"/>
      </w:pPr>
      <w:r>
        <w:rPr>
          <w:rFonts w:ascii="Arial" w:cs="Arial" w:eastAsia="Arial" w:hAnsi="Arial"/>
          <w:color w:val="1E293B"/>
          <w:sz w:val="22"/>
          <w:szCs w:val="22"/>
        </w:rPr>
        <w:t xml:space="preserve">El laboratorio continúa explorando el siguiente nicho o categoría mientras el primer caso de uso se consolida.</w:t>
      </w:r>
    </w:p>
    <w:p>
      <w:pPr>
        <w:pStyle w:val="ListParagraph"/>
        <w:numPr>
          <w:ilvl w:val="0"/>
          <w:numId w:val="2"/>
        </w:numPr>
        <w:spacing w:after="60" w:before="40"/>
      </w:pPr>
      <w:r>
        <w:rPr>
          <w:rFonts w:ascii="Arial" w:cs="Arial" w:eastAsia="Arial" w:hAnsi="Arial"/>
          <w:color w:val="1E293B"/>
          <w:sz w:val="22"/>
          <w:szCs w:val="22"/>
        </w:rPr>
        <w:t xml:space="preserve">Roberto revisa métricas de ambas líneas mensualmente y autoriza la progresión de fases.</w:t>
      </w:r>
    </w:p>
    <w:p>
      <w:pPr>
        <w:spacing w:after="80" w:before="80"/>
      </w:pPr>
      <w:r>
        <w:t xml:space="preserve"/>
      </w:r>
    </w:p>
    <w:p>
      <w:pPr>
        <w:pStyle w:val="Heading2"/>
        <w:spacing w:after="80" w:before="240"/>
      </w:pPr>
      <w:r>
        <w:rPr>
          <w:rFonts w:ascii="Arial" w:cs="Arial" w:eastAsia="Arial" w:hAnsi="Arial"/>
          <w:b/>
          <w:bCs/>
          <w:color w:val="1E293B"/>
          <w:sz w:val="24"/>
          <w:szCs w:val="24"/>
        </w:rPr>
        <w:t xml:space="preserve">Mes 6–12 — Consolidación y expansión</w:t>
      </w:r>
    </w:p>
    <w:p>
      <w:pPr>
        <w:pStyle w:val="ListParagraph"/>
        <w:numPr>
          <w:ilvl w:val="0"/>
          <w:numId w:val="2"/>
        </w:numPr>
        <w:spacing w:after="60" w:before="40"/>
      </w:pPr>
      <w:r>
        <w:rPr>
          <w:rFonts w:ascii="Arial" w:cs="Arial" w:eastAsia="Arial" w:hAnsi="Arial"/>
          <w:color w:val="1E293B"/>
          <w:sz w:val="22"/>
          <w:szCs w:val="22"/>
        </w:rPr>
        <w:t xml:space="preserve">Dos frentes activos: laboratorio madre + primer caso de uso en Fase 2 (marca curada o white label ligero).</w:t>
      </w:r>
    </w:p>
    <w:p>
      <w:pPr>
        <w:pStyle w:val="ListParagraph"/>
        <w:numPr>
          <w:ilvl w:val="0"/>
          <w:numId w:val="2"/>
        </w:numPr>
        <w:spacing w:after="60" w:before="40"/>
      </w:pPr>
      <w:r>
        <w:rPr>
          <w:rFonts w:ascii="Arial" w:cs="Arial" w:eastAsia="Arial" w:hAnsi="Arial"/>
          <w:color w:val="1E293B"/>
          <w:sz w:val="22"/>
          <w:szCs w:val="22"/>
        </w:rPr>
        <w:t xml:space="preserve">Evaluación de apertura del segundo caso de uso si el primero tiene ingresos estables.</w:t>
      </w:r>
    </w:p>
    <w:p>
      <w:pPr>
        <w:pStyle w:val="ListParagraph"/>
        <w:numPr>
          <w:ilvl w:val="0"/>
          <w:numId w:val="2"/>
        </w:numPr>
        <w:spacing w:after="60" w:before="40"/>
      </w:pPr>
      <w:r>
        <w:rPr>
          <w:rFonts w:ascii="Arial" w:cs="Arial" w:eastAsia="Arial" w:hAnsi="Arial"/>
          <w:color w:val="1E293B"/>
          <w:sz w:val="22"/>
          <w:szCs w:val="22"/>
        </w:rPr>
        <w:t xml:space="preserve">Sinergias entre las líneas ya documentadas: inteligencia de mercado cruzada, audiencias compartidas, infraestructura tecnológica común.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00"/>
              <w:left w:type="dxa" w:w="130"/>
              <w:bottom w:type="dxa" w:w="100"/>
              <w:right w:type="dxa" w:w="130"/>
            </w:tcMar>
          </w:tcPr>
          <w:p>
            <w:pPr>
              <w:spacing w:after="60" w:before="40"/>
            </w:pPr>
            <w:r>
              <w:rPr>
                <w:rFonts w:ascii="Arial" w:cs="Arial" w:eastAsia="Arial" w:hAnsi="Arial"/>
                <w:b/>
                <w:bCs/>
                <w:color w:val="D97706"/>
                <w:sz w:val="22"/>
                <w:szCs w:val="22"/>
              </w:rPr>
              <w:t xml:space="preserve">Regla de secuencia del portafolio</w:t>
            </w:r>
          </w:p>
          <w:p>
            <w:pPr>
              <w:spacing w:after="40" w:before="40"/>
            </w:pPr>
            <w:r>
              <w:rPr>
                <w:rFonts w:ascii="Arial" w:cs="Arial" w:eastAsia="Arial" w:hAnsi="Arial"/>
                <w:color w:val="1E293B"/>
                <w:sz w:val="21"/>
                <w:szCs w:val="21"/>
              </w:rPr>
              <w:t xml:space="preserve">El laboratorio no puede activar simultáneamente los dos casos de uso en sus fases de inversión (Fase 2 en adelante). Los recursos de Susy son finitos. Los dos casos de uso compiten por su tiempo. El laboratorio es el árbitro: decide cuál merece más recursos en función de métricas reales, no de preferencias.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00"/>
              <w:left w:type="dxa" w:w="130"/>
              <w:bottom w:type="dxa" w:w="100"/>
              <w:right w:type="dxa" w:w="130"/>
            </w:tcMar>
          </w:tcPr>
          <w:p>
            <w:pPr>
              <w:spacing w:after="60" w:before="40"/>
            </w:pPr>
            <w:r>
              <w:rPr>
                <w:rFonts w:ascii="Arial" w:cs="Arial" w:eastAsia="Arial" w:hAnsi="Arial"/>
                <w:b/>
                <w:bCs/>
                <w:color w:val="D97706"/>
                <w:sz w:val="22"/>
                <w:szCs w:val="22"/>
              </w:rPr>
              <w:t xml:space="preserve">NotebookLM</w:t>
            </w:r>
          </w:p>
          <w:p>
            <w:pPr>
              <w:spacing w:after="40" w:before="40"/>
            </w:pPr>
            <w:r>
              <w:rPr>
                <w:rFonts w:ascii="Arial" w:cs="Arial" w:eastAsia="Arial" w:hAnsi="Arial"/>
                <w:color w:val="1E293B"/>
                <w:sz w:val="21"/>
                <w:szCs w:val="21"/>
              </w:rPr>
              <w:t xml:space="preserve">Subir este documento como 'Ecommerce-LineaMadre-ProyectoBase'. Vincular a las notebooks de Cosmética y Moda para consultas cruzadas. Subir aprendizajes del laboratorio mensualmente como 'Ecommerce-Aprendizajes-MesN'. Este documento debe actualizarse cada trimestre con los resultados reales del laboratorio.</w:t>
            </w:r>
          </w:p>
        </w:tc>
      </w:tr>
    </w:tbl>
    <w:p>
      <w:pPr>
        <w:pBdr>
          <w:top w:val="single" w:color="D97706" w:sz="4" w:space="8"/>
        </w:pBdr>
        <w:spacing w:after="60" w:before="320"/>
        <w:jc w:val="center"/>
      </w:pPr>
      <w:r>
        <w:rPr>
          <w:rFonts w:ascii="Arial" w:cs="Arial" w:eastAsia="Arial" w:hAnsi="Arial"/>
          <w:i/>
          <w:iCs/>
          <w:color w:val="64748B"/>
          <w:sz w:val="18"/>
          <w:szCs w:val="18"/>
        </w:rPr>
        <w:t xml:space="preserve">Documento generado con Claude — Portafolio Familiar de Emprendimientos</w:t>
      </w:r>
    </w:p>
    <w:p>
      <w:pPr>
        <w:spacing w:after="0" w:before="0"/>
        <w:jc w:val="center"/>
      </w:pPr>
      <w:r>
        <w:rPr>
          <w:rFonts w:ascii="Arial" w:cs="Arial" w:eastAsia="Arial" w:hAnsi="Arial"/>
          <w:b/>
          <w:bCs/>
          <w:color w:val="DC2626"/>
          <w:sz w:val="18"/>
          <w:szCs w:val="18"/>
        </w:rPr>
        <w:t xml:space="preserve">NÚCLEO CENTRAL · No distribuir sin segmentar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2026-04-19T21:44:55.035Z</dcterms:created>
  <dcterms:modified xsi:type="dcterms:W3CDTF">2026-04-19T21:44:55.036Z</dcterms:modified>
</cp:coreProperties>
</file>

<file path=docProps/custom.xml><?xml version="1.0" encoding="utf-8"?>
<Properties xmlns="http://schemas.openxmlformats.org/officeDocument/2006/custom-properties" xmlns:vt="http://schemas.openxmlformats.org/officeDocument/2006/docPropsVTypes"/>
</file>