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3801BE" w14:textId="77777777" w:rsidR="00D007EB" w:rsidRDefault="00D007EB" w:rsidP="00D007EB">
      <w:pPr>
        <w:jc w:val="both"/>
        <w:rPr>
          <w:rFonts w:ascii="Times New Roman" w:hAnsi="Times New Roman" w:cs="Times New Roman"/>
          <w:sz w:val="22"/>
          <w:szCs w:val="22"/>
        </w:rPr>
      </w:pPr>
      <w:r w:rsidRPr="00D007EB">
        <w:rPr>
          <w:rFonts w:ascii="Times New Roman" w:hAnsi="Times New Roman" w:cs="Times New Roman"/>
          <w:sz w:val="22"/>
          <w:szCs w:val="22"/>
        </w:rPr>
        <w:t>We can immediately imagine what the phrase pink banana describes despite having never seen a pink banana before. This unique capacity of language to generate infinitely more complex expressions by flexibly combining finite word meanings is a hallmark of human semantic competence. A key goal of language neuroscience is thus to characterise the neural systems subserving meaning composition</w:t>
      </w:r>
      <w:r>
        <w:rPr>
          <w:rFonts w:ascii="Times New Roman" w:hAnsi="Times New Roman" w:cs="Times New Roman"/>
          <w:sz w:val="22"/>
          <w:szCs w:val="22"/>
        </w:rPr>
        <w:t xml:space="preserve">. </w:t>
      </w:r>
    </w:p>
    <w:p w14:paraId="05B4A908" w14:textId="04BFD416" w:rsidR="00D007EB" w:rsidRDefault="00D007EB" w:rsidP="00D007EB">
      <w:pPr>
        <w:ind w:firstLine="567"/>
        <w:jc w:val="both"/>
        <w:rPr>
          <w:rFonts w:ascii="Times New Roman" w:hAnsi="Times New Roman" w:cs="Times New Roman"/>
          <w:sz w:val="22"/>
          <w:szCs w:val="22"/>
        </w:rPr>
      </w:pPr>
      <w:r w:rsidRPr="00D007EB">
        <w:rPr>
          <w:rFonts w:ascii="Times New Roman" w:hAnsi="Times New Roman" w:cs="Times New Roman"/>
          <w:sz w:val="22"/>
          <w:szCs w:val="22"/>
        </w:rPr>
        <w:t xml:space="preserve">The neural bases of composition have been studied using minimal two-word phrases, such as </w:t>
      </w:r>
      <w:r w:rsidRPr="00D007EB">
        <w:rPr>
          <w:rFonts w:ascii="Times New Roman" w:hAnsi="Times New Roman" w:cs="Times New Roman"/>
          <w:i/>
          <w:iCs/>
          <w:sz w:val="22"/>
          <w:szCs w:val="22"/>
        </w:rPr>
        <w:t xml:space="preserve">red boat </w:t>
      </w:r>
      <w:r w:rsidRPr="00D007EB">
        <w:rPr>
          <w:rFonts w:ascii="Times New Roman" w:hAnsi="Times New Roman" w:cs="Times New Roman"/>
          <w:i/>
          <w:iCs/>
          <w:sz w:val="22"/>
          <w:szCs w:val="22"/>
        </w:rPr>
        <w:fldChar w:fldCharType="begin"/>
      </w:r>
      <w:r w:rsidRPr="00D007EB">
        <w:rPr>
          <w:rFonts w:ascii="Times New Roman" w:hAnsi="Times New Roman" w:cs="Times New Roman"/>
          <w:i/>
          <w:iCs/>
          <w:sz w:val="22"/>
          <w:szCs w:val="22"/>
        </w:rPr>
        <w:instrText xml:space="preserve"> ADDIN ZOTERO_ITEM CSL_CITATION {"citationID":"PRC06Kco","properties":{"formattedCitation":"(Baron &amp; Osherson, 2011; Coutanche et al., 2019; Graessner et al., 2021; Pylkk\\uc0\\u228{}nen, 2019, 2020; Schell et al., 2017)","plainCitation":"(Baron &amp; Osherson, 2011; Coutanche et al., 2019; Graessner et al., 2021; Pylkkänen, 2019, 2020; Schell et al., 2017)","noteIndex":0},"citationItems":[{"id":45,"uris":["http://zotero.org/users/6332862/items/4E6K658C"],"uri":["http://zotero.org/users/6332862/items/4E6K658C"],"itemData":{"id":45,"type":"article-journal","abstract":"Conceptual combination allows for the construction of an infinite number of complex ideas from a finite base. The anterior temporal lobes appear to be important for the process of conceptual combination. In a previous study (Baron et al., 2010) we showed that the neural representation of complex concepts (e.g., young man) in the left anterior temporal lobe is additive. Specifically, in that region, the representation of a complex concept can be predicted by the superimposition of the voxel-wise neural representations of its constituent concepts (e.g., young+man). However, this finding could be the result of phonological similarity or the simple co-activation of constituent concepts. Here we use concepts that are only related semantically: boy, girl, woman, man, female, male, child, and adult. The neural representation for each concept was evoked through a visual categorization task. Subsequent brain maps were then analyzed using a searchlight analysis meant to show areas of the cortex where multiplicative (as well as additive) conceptual combination occurred (e.g., areas in which activations for boy correlated with the product of the activations for male and child). Across all participants, the left anterior temporal lobe showed such an effect.","container-title":"NeuroImage","DOI":"10.1016/j.neuroimage.2011.01.066","ISSN":"1053-8119","issue":"4","journalAbbreviation":"NeuroImage","language":"en","page":"1847-1852","source":"ScienceDirect","title":"Evidence for conceptual combination in the left anterior temporal lobe","volume":"55","author":[{"family":"Baron","given":"Sean G."},{"family":"Osherson","given":"Daniel"}],"issued":{"date-parts":[["2011",4,15]]}}},{"id":71,"uris":["http://zotero.org/users/6332862/items/ZMX2YFUT"],"uri":["http://zotero.org/users/6332862/items/ZMX2YFUT"],"itemData":{"id":71,"type":"chapter","container-title":"The Cognitive Neurosciences","edition":"6th","title":"Conceptual combination","author":[{"family":"Coutanche","given":"Marc"},{"family":"Solomon","given":"Sarah"},{"family":"Thompson-Schill","given":"Sharon"}],"issued":{"date-parts":[["2019"]]}}},{"id":1067,"uris":["http://zotero.org/users/6332862/items/LPX83CX9"],"uri":["http://zotero.org/users/6332862/items/LPX83CX9"],"itemData":{"id":1067,"type":"article-journal","abstract":"Semantic composition, the ability to combine single words to form complex meanings, is a core feature of human language. Despite growing interest in the basis of semantic composition, the neural correlates and the interaction of regions within this network remain a matter of debate. We designed a well-controlled two-word fMRI paradigm in which phrases only differed along the semantic dimension while keeping syntactic information alike. Healthy participants listened to meaningful (“fresh apple”), anomalous (“awake apple”) and pseudoword phrases (“awake gufel”) while performing an implicit and an explicit semantic task. We identified neural signatures for distinct processes during basic semantic composition. When lexical information is kept constant across conditions and the evaluation of phrasal plausibility is examined (meaningful vs. anomalous phrases), a small set of mostly left-hemispheric semantic regions, including the anterior part of the left angular gyrus, is found active. Conversely, when the load of lexical information—independently of phrasal plausibility—is varied (meaningful or anomalous vs. pseudoword phrases), conceptual combination involves a wide-spread left-hemispheric network comprising executive semantic control regions and general conceptual representation regions. Within this network, the functional coupling between the left anterior inferior frontal gyrus, the bilateral pre-supplementary motor area and the posterior angular gyrus specifically increases for meaningful phrases relative to pseudoword phrases. Stronger effects in the explicit task further suggest task-dependent neural recruitment. Overall, we provide a separation between distinct nodes of the semantic network, whose functional contributions depend on the type of compositional process under analysis.","container-title":"Brain Structure and Function","DOI":"10.1007/s00429-020-02196-2","ISSN":"1863-2661","issue":"2","journalAbbreviation":"Brain Struct Funct","language":"en","page":"501-518","source":"Springer Link","title":"Differential contributions of left-hemispheric language regions to basic semantic composition","volume":"226","author":[{"family":"Graessner","given":"Astrid"},{"family":"Zaccarella","given":"Emiliano"},{"family":"Hartwigsen","given":"Gesa"}],"issued":{"date-parts":[["2021",3,1]]}}},{"id":119,"uris":["http://zotero.org/users/6332862/items/VNZUNA53"],"uri":["http://zotero.org/users/6332862/items/VNZUNA53"],"itemData":{"id":119,"type":"article-journal","abstract":"Human language allows us to create an infinitude of ideas from a finite set of basic building blocks. What is the neurobiology of this combinatory system? Research has begun to dissect the neural basis of natural language syntax and semantics by analyzing the basics of meaning composition, such as two-word phrases. This work has revealed a system of composition that involves rapidly peaking activity in the left anterior temporal lobe and later engagement of the medial prefrontal cortex. Both brain regions show evidence of shared processing between comprehension and production, as well as between spoken and signed language. Both appear to compute meaning, not syntactic structure. This Review discusses how language builds meaning and lays out directions for future neurobiological research on the combinatory system.","container-title":"Science","DOI":"10.1126/science.aax0050","issue":"6461","journalAbbreviation":"Science","page":"62","title":"The neural basis of combinatory syntax and semantics","volume":"366","author":[{"family":"Pylkkänen","given":"Liina"}],"issued":{"date-parts":[["2019",10,4]]}}},{"id":842,"uris":["http://zotero.org/users/6332862/items/VTY7D8CM"],"uri":["http://zotero.org/users/6332862/items/VTY7D8CM"],"itemData":{"id":842,"type":"article-journal","abstract":"Language is our mind's most powerful generative system for the expression of meaning and thought. What are the neural mechanisms of our ability to compose complex meanings from simpler representations? This question is impossible to answer unless we decompose the notion of ‘meaning composition’ in some theoretically guided way and then begin to assess the extent to which brain activity tracks the posited subroutines. Here, I summarize results from a body of MEG research that has begun to address this question from the ground up, first focusing on simple combinations of two words. The work sets off with a hypothesis space offered by theoretical linguistics, positing syntactic and logico-semantic composition as the main combinatory routines, but then reveals that the most consistent and prominent reflection of composition, localized in the left anterior temporal cortex at 200–250 ms, cannot be described with this toolkit. Instead, this activity tracks a much more conceptually driven process, robustly sensitive to the density of the conceptual feature space of the composing items. I will describe our functional understanding of this activity and how it may operate within a broader ‘combinatory network.’This article is part of the theme issue ‘Towards mechanistic models of meaning composition’.","container-title":"Philosophical Transactions of the Royal Society B: Biological Sciences","DOI":"10.1098/rstb.2019.0299","issue":"1791","note":"publisher: Royal Society","page":"20190299","source":"royalsocietypublishing.org (Atypon)","title":"Neural basis of basic composition: what we have learned from the red–boat studies and their extensions","title-short":"Neural basis of basic composition","volume":"375","author":[{"family":"Pylkkänen","given":"Liina"}],"issued":{"date-parts":[["2020",2,3]]}}},{"id":126,"uris":["http://zotero.org/users/6332862/items/GYKSE7C6"],"uri":["http://zotero.org/users/6332862/items/GYKSE7C6"],"itemData":{"id":126,"type":"article-journal","abstract":"Linguistic expressions consist of sequences of words combined together to form phrases and sentences. The neurocognitive process handling word combination is drawing increasing attention among the neuroscientific community, given that the underlying syntactic and semantic mechanisms of such basic combinations—although essential to the generation of more complex structures—still need to be consistently determined. The current experiment was conducted to disentangle the neural networks supporting syntactic and semantic processing at the level of two-word combinations. We manipulated the combinatorial load by using words of different grammatical classes within the phrase, such that determiner-noun combinations (this ship) were used to boost neural activity in syntax-related areas, while adjective-noun combinations (blue ship) were conversely used to measure neural response in semantic-related combinations. By means of functional magnetic resonance imaging (fMRI), we found that syntax-related processing mainly activates the most ventral part of the inferior frontal gyrus (IFG), along the frontal operculum (FOP) and anterior insula (aINS). Fine-grained analysis in BA44 confirmed that the most inferior-ventral portion is highly sensitive to syntactic computations driven by function words. Semantic-related processing on the contrary, rather engages the anterior dorsal part of the left IFG and the left angular gyrus (AG) that is two regions which appear to perform different functions within the semantic network. Our findings suggest that syntactic and semantic contribution to phrasal formation can be already differentiated at a very basic level, with each of these two processes comprising non-overlapping areas on the cerebral cortex. Specifically, they confirm the role of the ventral IFG for the construction of syntactically legal linguistic constructions, and the prominence of the more anterior IFG and the AG for conceptual semantics.","container-title":"Cortex","DOI":"10.1016/j.cortex.2017.09.002","ISSN":"0010-9452","journalAbbreviation":"Cortex","language":"en","page":"105-120","source":"ScienceDirect","title":"Differential cortical contribution of syntax and semantics: An fMRI study on two-word phrasal processing","title-short":"Differential cortical contribution of syntax and semantics","volume":"96","author":[{"family":"Schell","given":"Marianne"},{"family":"Zaccarella","given":"Emiliano"},{"family":"Friederici","given":"Angela D."}],"issued":{"date-parts":[["2017",11,1]]}}}],"schema":"https://github.com/citation-style-language/schema/raw/master/csl-citation.json"} </w:instrText>
      </w:r>
      <w:r w:rsidRPr="00D007EB">
        <w:rPr>
          <w:rFonts w:ascii="Times New Roman" w:hAnsi="Times New Roman" w:cs="Times New Roman"/>
          <w:i/>
          <w:iCs/>
          <w:sz w:val="22"/>
          <w:szCs w:val="22"/>
        </w:rPr>
        <w:fldChar w:fldCharType="separate"/>
      </w:r>
      <w:r w:rsidRPr="00D007EB">
        <w:rPr>
          <w:rFonts w:ascii="Times New Roman" w:hAnsi="Times New Roman" w:cs="Times New Roman"/>
          <w:sz w:val="22"/>
          <w:szCs w:val="22"/>
        </w:rPr>
        <w:t>(Baron &amp; Osherson, 2011; Coutanche et al., 2019; Graessner et al., 2021; Pylkkänen, 2019, 2020; Schell et al., 2017)</w:t>
      </w:r>
      <w:r w:rsidRPr="00D007EB">
        <w:rPr>
          <w:rFonts w:ascii="Times New Roman" w:hAnsi="Times New Roman" w:cs="Times New Roman"/>
          <w:sz w:val="22"/>
          <w:szCs w:val="22"/>
        </w:rPr>
        <w:fldChar w:fldCharType="end"/>
      </w:r>
      <w:r w:rsidRPr="00D007EB">
        <w:rPr>
          <w:rFonts w:ascii="Times New Roman" w:hAnsi="Times New Roman" w:cs="Times New Roman"/>
          <w:sz w:val="22"/>
          <w:szCs w:val="22"/>
        </w:rPr>
        <w:t>. When the two constituent concepts combine into a more complex concept  (</w:t>
      </w:r>
      <w:r w:rsidRPr="00D007EB">
        <w:rPr>
          <w:rFonts w:ascii="Times New Roman" w:hAnsi="Times New Roman" w:cs="Times New Roman"/>
          <w:i/>
          <w:iCs/>
          <w:sz w:val="22"/>
          <w:szCs w:val="22"/>
        </w:rPr>
        <w:t>red</w:t>
      </w:r>
      <w:r w:rsidRPr="00D007EB">
        <w:rPr>
          <w:rFonts w:ascii="Times New Roman" w:hAnsi="Times New Roman" w:cs="Times New Roman"/>
          <w:sz w:val="22"/>
          <w:szCs w:val="22"/>
        </w:rPr>
        <w:t xml:space="preserve"> and </w:t>
      </w:r>
      <w:r w:rsidRPr="00D007EB">
        <w:rPr>
          <w:rFonts w:ascii="Times New Roman" w:hAnsi="Times New Roman" w:cs="Times New Roman"/>
          <w:i/>
          <w:iCs/>
          <w:sz w:val="22"/>
          <w:szCs w:val="22"/>
        </w:rPr>
        <w:t xml:space="preserve">boat </w:t>
      </w:r>
      <w:r w:rsidRPr="00D007EB">
        <w:rPr>
          <w:rFonts w:ascii="Times New Roman" w:hAnsi="Times New Roman" w:cs="Times New Roman"/>
          <w:sz w:val="22"/>
          <w:szCs w:val="22"/>
        </w:rPr>
        <w:t xml:space="preserve">into </w:t>
      </w:r>
      <w:r w:rsidRPr="00D007EB">
        <w:rPr>
          <w:rFonts w:ascii="Times New Roman" w:hAnsi="Times New Roman" w:cs="Times New Roman"/>
          <w:i/>
          <w:iCs/>
          <w:sz w:val="22"/>
          <w:szCs w:val="22"/>
        </w:rPr>
        <w:t>red boat</w:t>
      </w:r>
      <w:r w:rsidRPr="00D007EB">
        <w:rPr>
          <w:rFonts w:ascii="Times New Roman" w:hAnsi="Times New Roman" w:cs="Times New Roman"/>
          <w:sz w:val="22"/>
          <w:szCs w:val="22"/>
        </w:rPr>
        <w:t xml:space="preserve">), the left anterior temporal lobe (ATL) responds more strongly at around 200-250 </w:t>
      </w:r>
      <w:proofErr w:type="spellStart"/>
      <w:r w:rsidRPr="00D007EB">
        <w:rPr>
          <w:rFonts w:ascii="Times New Roman" w:hAnsi="Times New Roman" w:cs="Times New Roman"/>
          <w:sz w:val="22"/>
          <w:szCs w:val="22"/>
        </w:rPr>
        <w:t>ms</w:t>
      </w:r>
      <w:proofErr w:type="spellEnd"/>
      <w:r w:rsidRPr="00D007EB">
        <w:rPr>
          <w:rFonts w:ascii="Times New Roman" w:hAnsi="Times New Roman" w:cs="Times New Roman"/>
          <w:sz w:val="22"/>
          <w:szCs w:val="22"/>
        </w:rPr>
        <w:t xml:space="preserve"> post second-word onset </w:t>
      </w:r>
      <w:r w:rsidRPr="00D007EB">
        <w:rPr>
          <w:rFonts w:ascii="Times New Roman" w:hAnsi="Times New Roman" w:cs="Times New Roman"/>
          <w:sz w:val="22"/>
          <w:szCs w:val="22"/>
        </w:rPr>
        <w:fldChar w:fldCharType="begin"/>
      </w:r>
      <w:r w:rsidRPr="00D007EB">
        <w:rPr>
          <w:rFonts w:ascii="Times New Roman" w:hAnsi="Times New Roman" w:cs="Times New Roman"/>
          <w:sz w:val="22"/>
          <w:szCs w:val="22"/>
        </w:rPr>
        <w:instrText xml:space="preserve"> ADDIN ZOTERO_ITEM CSL_CITATION {"citationID":"CduPILgX","properties":{"formattedCitation":"(Pylkk\\uc0\\u228{}nen, 2019, 2020)","plainCitation":"(Pylkkänen, 2019, 2020)","dontUpdate":true,"noteIndex":0},"citationItems":[{"id":119,"uris":["http://zotero.org/users/6332862/items/VNZUNA53"],"uri":["http://zotero.org/users/6332862/items/VNZUNA53"],"itemData":{"id":119,"type":"article-journal","abstract":"Human language allows us to create an infinitude of ideas from a finite set of basic building blocks. What is the neurobiology of this combinatory system? Research has begun to dissect the neural basis of natural language syntax and semantics by analyzing the basics of meaning composition, such as two-word phrases. This work has revealed a system of composition that involves rapidly peaking activity in the left anterior temporal lobe and later engagement of the medial prefrontal cortex. Both brain regions show evidence of shared processing between comprehension and production, as well as between spoken and signed language. Both appear to compute meaning, not syntactic structure. This Review discusses how language builds meaning and lays out directions for future neurobiological research on the combinatory system.","container-title":"Science","DOI":"10.1126/science.aax0050","issue":"6461","journalAbbreviation":"Science","page":"62","title":"The neural basis of combinatory syntax and semantics","volume":"366","author":[{"family":"Pylkkänen","given":"Liina"}],"issued":{"date-parts":[["2019",10,4]]}}},{"id":842,"uris":["http://zotero.org/users/6332862/items/VTY7D8CM"],"uri":["http://zotero.org/users/6332862/items/VTY7D8CM"],"itemData":{"id":842,"type":"article-journal","abstract":"Language is our mind's most powerful generative system for the expression of meaning and thought. What are the neural mechanisms of our ability to compose complex meanings from simpler representations? This question is impossible to answer unless we decompose the notion of ‘meaning composition’ in some theoretically guided way and then begin to assess the extent to which brain activity tracks the posited subroutines. Here, I summarize results from a body of MEG research that has begun to address this question from the ground up, first focusing on simple combinations of two words. The work sets off with a hypothesis space offered by theoretical linguistics, positing syntactic and logico-semantic composition as the main combinatory routines, but then reveals that the most consistent and prominent reflection of composition, localized in the left anterior temporal cortex at 200–250 ms, cannot be described with this toolkit. Instead, this activity tracks a much more conceptually driven process, robustly sensitive to the density of the conceptual feature space of the composing items. I will describe our functional understanding of this activity and how it may operate within a broader ‘combinatory network.’This article is part of the theme issue ‘Towards mechanistic models of meaning composition’.","container-title":"Philosophical Transactions of the Royal Society B: Biological Sciences","DOI":"10.1098/rstb.2019.0299","issue":"1791","note":"publisher: Royal Society","page":"20190299","source":"royalsocietypublishing.org (Atypon)","title":"Neural basis of basic composition: what we have learned from the red–boat studies and their extensions","title-short":"Neural basis of basic composition","volume":"375","author":[{"family":"Pylkkänen","given":"Liina"}],"issued":{"date-parts":[["2020",2,3]]}}}],"schema":"https://github.com/citation-style-language/schema/raw/master/csl-citation.json"} </w:instrText>
      </w:r>
      <w:r w:rsidRPr="00D007EB">
        <w:rPr>
          <w:rFonts w:ascii="Times New Roman" w:hAnsi="Times New Roman" w:cs="Times New Roman"/>
          <w:sz w:val="22"/>
          <w:szCs w:val="22"/>
        </w:rPr>
        <w:fldChar w:fldCharType="separate"/>
      </w:r>
      <w:r w:rsidRPr="00D007EB">
        <w:rPr>
          <w:rFonts w:ascii="Times New Roman" w:hAnsi="Times New Roman" w:cs="Times New Roman"/>
          <w:sz w:val="22"/>
          <w:szCs w:val="22"/>
        </w:rPr>
        <w:t>(Pylkkänen, 2019, 2020)</w:t>
      </w:r>
      <w:r w:rsidRPr="00D007EB">
        <w:rPr>
          <w:rFonts w:ascii="Times New Roman" w:hAnsi="Times New Roman" w:cs="Times New Roman"/>
          <w:sz w:val="22"/>
          <w:szCs w:val="22"/>
        </w:rPr>
        <w:fldChar w:fldCharType="end"/>
      </w:r>
      <w:r w:rsidRPr="00D007EB">
        <w:rPr>
          <w:rFonts w:ascii="Times New Roman" w:hAnsi="Times New Roman" w:cs="Times New Roman"/>
          <w:sz w:val="22"/>
          <w:szCs w:val="22"/>
        </w:rPr>
        <w:t xml:space="preserve"> relative to non-combinatory controls. This finding is parsimonious with a “semantic hub” account of the ATL </w:t>
      </w:r>
      <w:r w:rsidRPr="00D007EB">
        <w:rPr>
          <w:rFonts w:ascii="Times New Roman" w:hAnsi="Times New Roman" w:cs="Times New Roman"/>
          <w:sz w:val="22"/>
          <w:szCs w:val="22"/>
        </w:rPr>
        <w:fldChar w:fldCharType="begin"/>
      </w:r>
      <w:r w:rsidRPr="00D007EB">
        <w:rPr>
          <w:rFonts w:ascii="Times New Roman" w:hAnsi="Times New Roman" w:cs="Times New Roman"/>
          <w:sz w:val="22"/>
          <w:szCs w:val="22"/>
        </w:rPr>
        <w:instrText xml:space="preserve"> ADDIN ZOTERO_ITEM CSL_CITATION {"citationID":"srBkVOfU","properties":{"formattedCitation":"(Farahibozorg et al., 2019; Lambon Ralph et al., 2010, 2017; Patterson et al., 2007; Rahimi et al., 2021)","plainCitation":"(Farahibozorg et al., 2019; Lambon Ralph et al., 2010, 2017; Patterson et al., 2007; Rahimi et al., 2021)","dontUpdate":true,"noteIndex":0},"citationItems":[{"id":1076,"uris":["http://zotero.org/users/6332862/items/MZN8QXAV"],"uri":["http://zotero.org/users/6332862/items/MZN8QXAV"],"itemData":{"id":1076,"type":"report","abstract":"It is now well recognised that human semantic knowledge is supported by a large neural network distributed over multiple brain regions, but the dynamic organisation of this network remains unknown. Some studies have proposed that a central semantic hub coordinates this network. We explored the possibility of different types of semantic hubs; namely “representational hubs”, whose neural activity is modulated by semantic variables, and “connectivity hubs”, whose connectivity to distributed areas is modulated by semantic variables. We utilised the spatio-temporal resolution of source-estimated Electro-/Magnetoencephalography data in a word-concreteness task (17 participants, 12 female) in order to: (i) find representational hubs at different timepoints based on semantic modulation of evoked brain activity in source space; (ii) identify connectivity hubs among left Anterior Temporal Lobe (ATL), Angular Gyrus (AG), Middle Temporal Gyrus and Inferior Frontal Gyrus based on their functional connectivity to the whole cortex, in particular sensory-motor-limbic systems; and (iii) explicitly compare network models with and without an intermediate hub linking sensory input to other candidate hub regions using Dynamic Causal Modelling (DCM) of evoked responses. ATL’s activity was modulated as early as 150ms post-stimulus, while both ATL and AG showed modulations of functional connectivity with sensory-motor-limbic areas from 150-450ms. DCM favoured models with one intermediate hub, namely ATL in an early time window and AG in a later time-window. Our results support ATL as a single representational hub with an early onset, but suggest that both ATL and AG function as connectivity hubs depending on the stage of semantic processing.","language":"en","note":"Company: Cold Spring Harbor Laboratory\nDOI: 10.1101/544114\nDistributor: Cold Spring Harbor Laboratory\nLabel: Cold Spring Harbor Laboratory\nsection: New Results","page":"544114","source":"bioRxiv","title":"Distinct roles for the Anterior Temporal Lobe and Angular Gyrus in the spatio-temporal cortical semantic network","URL":"https://www.biorxiv.org/content/10.1101/544114v1","author":[{"family":"Farahibozorg","given":"Seyedeh-Rezvan"},{"family":"Henson","given":"Richard N."},{"family":"Woollams","given":"Anna M."},{"family":"Hauk","given":"Olaf"}],"accessed":{"date-parts":[["2021",10,2]]},"issued":{"date-parts":[["2019",2,8]]}}},{"id":1051,"uris":["http://zotero.org/users/6332862/items/I76DEB3R"],"uri":["http://zotero.org/users/6332862/items/I76DEB3R"],"itemData":{"id":1051,"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Neurosci","language":"en","note":"Bandiera_abtest: a\nCg_type: Nature Research Journals\nnumber: 1\nPrimary_atype: Reviews\npublisher: Nature Publishing Group\nSubject_term: Cognitive neuroscience;Dementia;Stroke\nSubject_term_id: cognitive-neuroscience;dementia;stroke","page":"42-55","source":"www.nature.com","title":"The neural and computational bases of semantic cognition","volume":"18","author":[{"family":"Lambon Ralph","given":"Matthew A."},{"family":"Jefferies","given":"Elizabeth"},{"family":"Patterson","given":"Karalyn"},{"family":"Rogers","given":"Timothy T."}],"issued":{"date-parts":[["2017",1]]}}},{"id":44,"uris":["http://zotero.org/users/6332862/items/8JUXKT5X"],"uri":["http://zotero.org/users/6332862/items/8JUXKT5X"],"itemData":{"id":44,"type":"article-journal","abstract":"Semantic memory corresponds to people's general conceptual knowledge about objects and events, including knowledge about their characteristic properties and behaviours, as well as knowledge about the words we use to name and describe objects and events in speech.Whereas episodic memory encompasses memory for specific episodes or situations in one's life, semantic memory encompasses factual knowledge divorced from any specific situational context: “a scallop is an edible sea creature” (semantic) as opposed to “I ate scallops for supper last night” (episodic).Essentially all theories agree that a widely distributed brain network is responsible for our semantic knowledge of modality-specific features (for example, what a scallop looks or tastes like); but the theories differ on whether this network is sufficient for all of the functions of semantic memory.The theory highlighted in this review proposes that conceptual knowledge requires an amodal hub, which itself contains no semantic features but rather represents the semantic similarity among concepts — for example, the semantic similarity between scallops and prawns, despite their differences in virtually every modality-specific attribute.This theory predicts that a lesion of the specific brain region supporting the amodal hub should disrupt all abilities requiring central conceptual knowledge, independent of the modality of input (such as objects, words or sounds) or output (such as speaking, drawing or using objects) and independent of the type of concept (living things, man-made objects and abstract ideas, for example).Patients with semantic dementia, a neurodegenerative syndrome resulting from focal atrophy of the anterior temporal lobes (ATL) bilaterally, show precisely this pattern of semantic degradation across all modalities and all types of conceptual knowledge; therefore, semantic dementia suggests that the ATL supports an amodal hub.Functional neuroimaging studies of semantic processing only sometimes reveal activation in the ATL. The likelihood of activation in this region, however, can be predicted by a combination of the specific imaging techniques employed and the specificity of semantic processing required by the imaging task.Simulations of semantic memory in connectionist models suggest one reason why the semantic network might require a hub: without such an architecture, it is not clear how the system can learn representations that capture semantic similarity relations.","container-title":"Nature Reviews Neuroscience","DOI":"10.1038/nrn2277","ISSN":"1471-0048","issue":"12","language":"en","note":"number: 12\npublisher: Nature Publishing Group","page":"976-987","source":"www.nature.com","title":"Where do you know what you know? The representation of semantic knowledge in the human brain","title-short":"Where do you know what you know?","volume":"8","author":[{"family":"Patterson","given":"Karalyn"},{"family":"Nestor","given":"Peter J."},{"family":"Rogers","given":"Timothy T."}],"issued":{"date-parts":[["2007",12]]}}},{"id":1077,"uris":["http://zotero.org/users/6332862/items/DBAVPGBX"],"uri":["http://zotero.org/users/6332862/items/DBAVPGBX"],"itemData":{"id":1077,"type":"report","abstract":"How does brain activity in distributed semantic brain networks evolve over time, and how do these regions interact to retrieve the meaning of words? We compared spatiotemporal brain dynamics between visual lexical and semantic decision tasks (LD and SD), analysing whole-cortex evoked responses and spectral functional connectivity (coherence) in source-estimated electroencephalography and magnetoencephalography (EEG and MEG) recordings. Our evoked analysis revealed generally larger activation for SD compared to LD, starting in primary visual area (PVA) and angular gyrus (AG), followed by left posterior temporal cortex (PTC) and left anterior temporal lobe (ATL). The earliest activation effects in ATL were significantly left-lateralised. Our functional connectivity results showed significant connectivity between left and right ATLs and PTC and right ATL in an early time window, as well as between left ATL and IFG in a later time window. The connectivity of AG was comparatively sparse. We quantified the limited spatial resolution of our source estimates via a leakage index for careful interpretation of our results. Our findings suggest that semantic task demands modulate visual and attentional processes early-on, followed by modulation of multimodal semantic information retrieval in ATLs and then control regions (PTC and IFG) in order to extract task-relevant semantic features for response selection. Whilst our evoked analysis suggests a dominance of left ATL for semantic processing, our functional connectivity analysis also revealed significant involvement of right ATL in the more demanding semantic task. Our findings demonstrate the complementarity of evoked and functional connectivity analysis, as well as the importance of dynamic information for both types of analyses.\nHighlightsSemantic task demands affect activity and connectivity at different processing stagesEarliest task modulations occurred in posterior visual brain regionsATL, PTC and IFG effects reflect task-relevant retrieval of multimodal informationATL effects left-lateralised for activation but bilateral for functional connectivityDynamic evoked and connectivity data are essential to study semantic networks","language":"en","note":"Company: Cold Spring Harbor Laboratory\nDOI: 10.1101/2021.06.28.450126\nDistributor: Cold Spring Harbor Laboratory\nLabel: Cold Spring Harbor Laboratory\nsection: New Results","page":"2021.06.28.450126","source":"bioRxiv","title":"Task modulation of spatiotemporal dynamics in semantic brain networks: an EEG/MEG study","title-short":"Task modulation of spatiotemporal dynamics in semantic brain networks","URL":"https://www.biorxiv.org/content/10.1101/2021.06.28.450126v1","author":[{"family":"Rahimi","given":"Setareh"},{"family":"Farahibozorg","given":"Seyedeh-Rezvan"},{"family":"Jackson","given":"Rebecca"},{"family":"Hauk","given":"Olaf"}],"accessed":{"date-parts":[["2021",10,2]]},"issued":{"date-parts":[["2021",6,29]]}}},{"id":1050,"uris":["http://zotero.org/users/6332862/items/6593ZH7N"],"uri":["http://zotero.org/users/6332862/items/6593ZH7N"],"itemData":{"id":1050,"type":"article-journal","abstract":"In his Philosophical Investigations, Wittgenstein famously noted that the formation of semantic representations requires more than a simple combination of verbal and nonverbal features to generate conceptually based similarities and differences. Classical and contemporary neuroscience has tended to focus upon how different neocortical regions contribute to conceptualization through the summation of modality-specific information. The additional yet critical step of computing coherent concepts has received little attention. Some computational models of semantic memory are able to generate such concepts by the addition of modality-invariant information coded in a multidimensional semantic space. By studying patients with semantic dementia, we demonstrate that this aspect of semantic memory becomes compromised following atrophy of the anterior temporal lobes and, as a result, the patients become increasingly influenced by superficial rather than conceptual similarities.","container-title":"Proceedings of the National Academy of Sciences","DOI":"10.1073/pnas.0907307107","ISSN":"0027-8424, 1091-6490","issue":"6","journalAbbreviation":"PNAS","language":"en","note":"publisher: National Academy of Sciences\nsection: Biological Sciences\nPMID: 20133780","page":"2717-2722","source":"www.pnas.org","title":"Coherent concepts are computed in the anterior temporal lobes","volume":"107","author":[{"family":"Lambon Ralph","given":"Matthew A."},{"family":"Sage","given":"Karen"},{"family":"Jones","given":"Roy W."},{"family":"Mayberry","given":"Emily J."}],"issued":{"date-parts":[["2010",2,9]]}}}],"schema":"https://github.com/citation-style-language/schema/raw/master/csl-citation.json"} </w:instrText>
      </w:r>
      <w:r w:rsidRPr="00D007EB">
        <w:rPr>
          <w:rFonts w:ascii="Times New Roman" w:hAnsi="Times New Roman" w:cs="Times New Roman"/>
          <w:sz w:val="22"/>
          <w:szCs w:val="22"/>
        </w:rPr>
        <w:fldChar w:fldCharType="separate"/>
      </w:r>
      <w:r w:rsidRPr="00D007EB">
        <w:rPr>
          <w:rFonts w:ascii="Times New Roman" w:hAnsi="Times New Roman" w:cs="Times New Roman"/>
          <w:sz w:val="22"/>
          <w:szCs w:val="22"/>
        </w:rPr>
        <w:t>(Patterson et al., 2007; Lambon Ralph et al., 2010, 2017)</w:t>
      </w:r>
      <w:r w:rsidRPr="00D007EB">
        <w:rPr>
          <w:rFonts w:ascii="Times New Roman" w:hAnsi="Times New Roman" w:cs="Times New Roman"/>
          <w:sz w:val="22"/>
          <w:szCs w:val="22"/>
        </w:rPr>
        <w:fldChar w:fldCharType="end"/>
      </w:r>
      <w:r w:rsidRPr="00D007EB">
        <w:rPr>
          <w:rFonts w:ascii="Times New Roman" w:hAnsi="Times New Roman" w:cs="Times New Roman"/>
          <w:sz w:val="22"/>
          <w:szCs w:val="22"/>
        </w:rPr>
        <w:t xml:space="preserve">. Some models also suggest a role for the angular gyrus (AG) in semantic combinatorics </w:t>
      </w:r>
      <w:r w:rsidRPr="00D007EB">
        <w:rPr>
          <w:rFonts w:ascii="Times New Roman" w:hAnsi="Times New Roman" w:cs="Times New Roman"/>
          <w:sz w:val="22"/>
          <w:szCs w:val="22"/>
        </w:rPr>
        <w:fldChar w:fldCharType="begin"/>
      </w:r>
      <w:r w:rsidRPr="00D007EB">
        <w:rPr>
          <w:rFonts w:ascii="Times New Roman" w:hAnsi="Times New Roman" w:cs="Times New Roman"/>
          <w:sz w:val="22"/>
          <w:szCs w:val="22"/>
        </w:rPr>
        <w:instrText xml:space="preserve"> ADDIN ZOTERO_ITEM CSL_CITATION {"citationID":"FAT18ZZx","properties":{"formattedCitation":"(Graves et al., 2010; Humphreys et al., 2021; Price et al., 2015)","plainCitation":"(Graves et al., 2010; Humphreys et al., 2021; Price et al., 2015)","dontUpdate":true,"noteIndex":0},"citationItems":[{"id":1069,"uris":["http://zotero.org/users/6332862/items/SCQ4BNJU"],"uri":["http://zotero.org/users/6332862/items/SCQ4BNJU"],"itemData":{"id":1069,"type":"article-journal","abstract":"Language consists of sequences of words, but comprehending phrases involves more than concatenating meanings: A boat house is a shelter for boats, whereas a summer house is a house used during summer, and a ghost house is typically uninhabited. Little is known about the brain bases of combinatorial semantic processes. We performed two fMRI experiments using familiar, highly meaningful phrases (lake house) and unfamiliar phrases with minimal meaning created by reversing the word order of the familiar items (house lake). The first experiment used a 1-back matching task to assess implicit semantic processing, and the second used a classification task to engage explicit semantic processing. These conditions required processing of the same words, but with more effective combinatorial processing in the meaningful condition. The contrast of meaningful versus reversed phrases revealed activation primarily during the classification task, to a greater extent in the right hemisphere, including right angular gyrus, dorsomedial prefrontal cortex, and bilateral posterior cingulate/precuneus, areas previously implicated in semantic processing. Positive correlations of fMRI signal with lexical (word-level) frequency occurred exclusively with the 1-back task and to a greater spatial extent on the left, including left posterior middle temporal gyrus and bilateral parahippocampus. These results reveal strong effects of task demands on engagement of lexical versus combinatorial processing and suggest a hemispheric dissociation between these levels of semantic representation.","container-title":"NeuroImage","DOI":"10.1016/j.neuroimage.2010.06.055","ISSN":"1053-8119","issue":"2","journalAbbreviation":"NeuroImage","language":"en","page":"638-646","source":"ScienceDirect","title":"Neural correlates of implicit and explicit combinatorial semantic processing","volume":"53","author":[{"family":"Graves","given":"William W."},{"family":"Binder","given":"Jeffrey R."},{"family":"Desai","given":"Rutvik H."},{"family":"Conant","given":"Lisa L."},{"family":"Seidenberg","given":"Mark S."}],"issued":{"date-parts":[["2010",11,1]]}}},{"id":1041,"uris":["http://zotero.org/users/6332862/items/PY472TBK"],"uri":["http://zotero.org/users/6332862/items/PY472TBK"],"itemData":{"id":1041,"type":"article-journal","abstract":"The angular gyrus (AG) region of lateral parietal cortex has been implicated in a wide variety of tasks and functions, generating numerous influential theories. However, these theories largely fail to explain why so many apparently distinct cognitive activities implicate common parietal structures. We propose a unifying model, based on a set of central principles, to account for coalescences of cognitive task activations across AG. To illustrate the proposed framework, we show how these principles account for findings from studies of episodic and semantic memory that have independently implicated the same AG regions but thus far been considered from largely domain-specific perspectives. We conclude that AG computations, as part of a wider lateral parietal system, enable the online dynamic buffering of multisensory spatiotemporally extended representations.","container-title":"Trends in Neurosciences","DOI":"10.1016/j.tins.2021.01.006","ISSN":"1878-108X","issue":"6","journalAbbreviation":"Trends Neurosci","language":"eng","note":"PMID: 33612312","page":"452-463","source":"PubMed","title":"A Unifying Account of Angular Gyrus Contributions to Episodic and Semantic Cognition","volume":"44","author":[{"family":"Humphreys","given":"Gina F."},{"family":"Lambon Ralph","given":"Matthew A."},{"family":"Simons","given":"Jon S."}],"issued":{"date-parts":[["2021",6]]}}},{"id":1068,"uris":["http://zotero.org/users/6332862/items/FLGMDLRB"],"uri":["http://zotero.org/users/6332862/items/FLGMDLRB"],"itemData":{"id":1068,"type":"article-journal","abstract":"Human thought and language rely on the brain's ability to combine conceptual information. This fundamental process supports the construction of complex concepts from basic constituents. For example, both “jacket” and “plaid” can be represented as individual concepts, but they can also be integrated to form the more complex representation “plaid jacket.” Although this process is central to the expression and comprehension of language, little is known about its neural basis. Here we present evidence for a neuroanatomic model of conceptual combination from three experiments. We predicted that the highly integrative region of heteromodal association cortex in the angular gyrus would be critical for conceptual combination, given its anatomic connectivity and its strong association with semantic memory in functional neuroimaging studies. Consistent with this hypothesis, we found that the process of combining concepts to form meaningful representations specifically modulates neural activity in the angular gyrus of healthy adults, independent of the modality of the semantic content integrated. We also found that individual differences in the structure of the angular gyrus in healthy adults are related to variability in behavioral performance on the conceptual combination task. Finally, in a group of patients with neurodegenerative disease, we found that the degree of atrophy in the angular gyrus is specifically related to impaired performance on combinatorial processing. These converging anatomic findings are consistent with a critical role for the angular gyrus in conceptual combination.","container-title":"Journal of Neuroscience","DOI":"10.1523/JNEUROSCI.3446-14.2015","ISSN":"0270-6474, 1529-2401","issue":"7","journalAbbreviation":"J. Neurosci.","language":"en","note":"publisher: Society for Neuroscience\nsection: Articles\nPMID: 25698762","page":"3276-3284","source":"www.jneurosci.org","title":"Converging Evidence for the Neuroanatomic Basis of Combinatorial Semantics in the Angular Gyrus","volume":"35","author":[{"family":"Price","given":"Amy R."},{"family":"Bonner","given":"Michael F."},{"family":"Peelle","given":"Jonathan E."},{"family":"Grossman","given":"Murray"}],"issued":{"date-parts":[["2015",2,18]]}}}],"schema":"https://github.com/citation-style-language/schema/raw/master/csl-citation.json"} </w:instrText>
      </w:r>
      <w:r w:rsidRPr="00D007EB">
        <w:rPr>
          <w:rFonts w:ascii="Times New Roman" w:hAnsi="Times New Roman" w:cs="Times New Roman"/>
          <w:sz w:val="22"/>
          <w:szCs w:val="22"/>
        </w:rPr>
        <w:fldChar w:fldCharType="separate"/>
      </w:r>
      <w:r w:rsidRPr="00D007EB">
        <w:rPr>
          <w:rFonts w:ascii="Times New Roman" w:hAnsi="Times New Roman" w:cs="Times New Roman"/>
          <w:sz w:val="22"/>
          <w:szCs w:val="22"/>
        </w:rPr>
        <w:t>(Graves et al., 2010; Price et al., 2015; Humphreys et al., 2021)</w:t>
      </w:r>
      <w:r w:rsidRPr="00D007EB">
        <w:rPr>
          <w:rFonts w:ascii="Times New Roman" w:hAnsi="Times New Roman" w:cs="Times New Roman"/>
          <w:sz w:val="22"/>
          <w:szCs w:val="22"/>
        </w:rPr>
        <w:fldChar w:fldCharType="end"/>
      </w:r>
      <w:r w:rsidRPr="00D007EB">
        <w:rPr>
          <w:rFonts w:ascii="Times New Roman" w:hAnsi="Times New Roman" w:cs="Times New Roman"/>
          <w:sz w:val="22"/>
          <w:szCs w:val="22"/>
        </w:rPr>
        <w:t>. These models, however, leave largely unspecified the mechanistic details, such as the nature of conceptual representations to be combined and their neural correlates. With these guiding questions in mind, I will outline three research questions on the neuroscience of natural language.</w:t>
      </w:r>
    </w:p>
    <w:p w14:paraId="0CB8D2C5" w14:textId="440FC154" w:rsidR="006A1262" w:rsidRDefault="006424CD" w:rsidP="006424CD">
      <w:pPr>
        <w:ind w:firstLine="567"/>
        <w:jc w:val="both"/>
        <w:rPr>
          <w:rFonts w:ascii="Times New Roman" w:hAnsi="Times New Roman" w:cs="Times New Roman"/>
          <w:sz w:val="22"/>
          <w:szCs w:val="22"/>
        </w:rPr>
      </w:pPr>
      <w:r w:rsidRPr="00D007EB">
        <w:rPr>
          <w:rFonts w:ascii="Times New Roman" w:hAnsi="Times New Roman" w:cs="Times New Roman"/>
          <w:sz w:val="22"/>
          <w:szCs w:val="22"/>
        </w:rPr>
        <w:t xml:space="preserve">First, a theory of semantic cognition would need to provide an adequate account and explanation of how concrete and abstract semantics are represented and combined in the brain. The brain readily processes the combination of concrete adjective-noun phrases such as </w:t>
      </w:r>
      <w:r w:rsidRPr="00D007EB">
        <w:rPr>
          <w:rFonts w:ascii="Times New Roman" w:hAnsi="Times New Roman" w:cs="Times New Roman"/>
          <w:i/>
          <w:iCs/>
          <w:sz w:val="22"/>
          <w:szCs w:val="22"/>
        </w:rPr>
        <w:t>red boat</w:t>
      </w:r>
      <w:r w:rsidRPr="00D007EB">
        <w:rPr>
          <w:rFonts w:ascii="Times New Roman" w:hAnsi="Times New Roman" w:cs="Times New Roman"/>
          <w:sz w:val="22"/>
          <w:szCs w:val="22"/>
        </w:rPr>
        <w:t xml:space="preserve"> but also abstract ones such as </w:t>
      </w:r>
      <w:r w:rsidRPr="00D007EB">
        <w:rPr>
          <w:rFonts w:ascii="Times New Roman" w:hAnsi="Times New Roman" w:cs="Times New Roman"/>
          <w:i/>
          <w:iCs/>
          <w:sz w:val="22"/>
          <w:szCs w:val="22"/>
        </w:rPr>
        <w:t>ethical theory</w:t>
      </w:r>
      <w:r w:rsidRPr="00D007EB">
        <w:rPr>
          <w:rFonts w:ascii="Times New Roman" w:hAnsi="Times New Roman" w:cs="Times New Roman"/>
          <w:sz w:val="22"/>
          <w:szCs w:val="22"/>
        </w:rPr>
        <w:t xml:space="preserve">. </w:t>
      </w:r>
      <w:r w:rsidR="006A1262">
        <w:rPr>
          <w:rFonts w:ascii="Times New Roman" w:hAnsi="Times New Roman" w:cs="Times New Roman"/>
          <w:sz w:val="22"/>
          <w:szCs w:val="22"/>
        </w:rPr>
        <w:t xml:space="preserve">Studying how concrete as well as abstract concepts combine may shed slight on the nature of the input that enters into the combinatory machinery. </w:t>
      </w:r>
    </w:p>
    <w:p w14:paraId="08C8FA08" w14:textId="6B6E978C" w:rsidR="006424CD" w:rsidRPr="00D007EB" w:rsidRDefault="006424CD" w:rsidP="006424CD">
      <w:pPr>
        <w:ind w:firstLine="567"/>
        <w:jc w:val="both"/>
        <w:rPr>
          <w:rFonts w:ascii="Times New Roman" w:hAnsi="Times New Roman" w:cs="Times New Roman"/>
          <w:sz w:val="22"/>
          <w:szCs w:val="22"/>
        </w:rPr>
      </w:pPr>
      <w:r w:rsidRPr="00D007EB">
        <w:rPr>
          <w:rFonts w:ascii="Times New Roman" w:hAnsi="Times New Roman" w:cs="Times New Roman"/>
          <w:sz w:val="22"/>
          <w:szCs w:val="22"/>
        </w:rPr>
        <w:t xml:space="preserve">The literature on conceptual combination has largely focused on the combination of concrete concepts </w:t>
      </w:r>
      <w:r w:rsidRPr="00D007EB">
        <w:rPr>
          <w:rFonts w:ascii="Times New Roman" w:eastAsia="Times New Roman" w:hAnsi="Times New Roman" w:cs="Times New Roman"/>
          <w:i/>
          <w:iCs/>
          <w:sz w:val="22"/>
          <w:szCs w:val="22"/>
        </w:rPr>
        <w:fldChar w:fldCharType="begin"/>
      </w:r>
      <w:r w:rsidRPr="00D007EB">
        <w:rPr>
          <w:rFonts w:ascii="Times New Roman" w:eastAsia="Times New Roman" w:hAnsi="Times New Roman" w:cs="Times New Roman"/>
          <w:i/>
          <w:iCs/>
          <w:sz w:val="22"/>
          <w:szCs w:val="22"/>
        </w:rPr>
        <w:instrText xml:space="preserve"> ADDIN ZOTERO_ITEM CSL_CITATION {"citationID":"PtIFffht","properties":{"formattedCitation":"(Baron &amp; Osherson, 2011; Coutanche et al., 2019; Graessner et al., 2021; Pylkk\\uc0\\u228{}nen, 2019, 2020; Schell et al., 2017)","plainCitation":"(Baron &amp; Osherson, 2011; Coutanche et al., 2019; Graessner et al., 2021; Pylkkänen, 2019, 2020; Schell et al., 2017)","noteIndex":0},"citationItems":[{"id":45,"uris":["http://zotero.org/users/6332862/items/4E6K658C"],"uri":["http://zotero.org/users/6332862/items/4E6K658C"],"itemData":{"id":45,"type":"article-journal","abstract":"Conceptual combination allows for the construction of an infinite number of complex ideas from a finite base. The anterior temporal lobes appear to be important for the process of conceptual combination. In a previous study (Baron et al., 2010) we showed that the neural representation of complex concepts (e.g., young man) in the left anterior temporal lobe is additive. Specifically, in that region, the representation of a complex concept can be predicted by the superimposition of the voxel-wise neural representations of its constituent concepts (e.g., young+man). However, this finding could be the result of phonological similarity or the simple co-activation of constituent concepts. Here we use concepts that are only related semantically: boy, girl, woman, man, female, male, child, and adult. The neural representation for each concept was evoked through a visual categorization task. Subsequent brain maps were then analyzed using a searchlight analysis meant to show areas of the cortex where multiplicative (as well as additive) conceptual combination occurred (e.g., areas in which activations for boy correlated with the product of the activations for male and child). Across all participants, the left anterior temporal lobe showed such an effect.","container-title":"NeuroImage","DOI":"10.1016/j.neuroimage.2011.01.066","ISSN":"1053-8119","issue":"4","journalAbbreviation":"NeuroImage","language":"en","page":"1847-1852","source":"ScienceDirect","title":"Evidence for conceptual combination in the left anterior temporal lobe","volume":"55","author":[{"family":"Baron","given":"Sean G."},{"family":"Osherson","given":"Daniel"}],"issued":{"date-parts":[["2011",4,15]]}}},{"id":71,"uris":["http://zotero.org/users/6332862/items/ZMX2YFUT"],"uri":["http://zotero.org/users/6332862/items/ZMX2YFUT"],"itemData":{"id":71,"type":"chapter","container-title":"The Cognitive Neurosciences","edition":"6th","title":"Conceptual combination","author":[{"family":"Coutanche","given":"Marc"},{"family":"Solomon","given":"Sarah"},{"family":"Thompson-Schill","given":"Sharon"}],"issued":{"date-parts":[["2019"]]}}},{"id":1067,"uris":["http://zotero.org/users/6332862/items/LPX83CX9"],"uri":["http://zotero.org/users/6332862/items/LPX83CX9"],"itemData":{"id":1067,"type":"article-journal","abstract":"Semantic composition, the ability to combine single words to form complex meanings, is a core feature of human language. Despite growing interest in the basis of semantic composition, the neural correlates and the interaction of regions within this network remain a matter of debate. We designed a well-controlled two-word fMRI paradigm in which phrases only differed along the semantic dimension while keeping syntactic information alike. Healthy participants listened to meaningful (“fresh apple”), anomalous (“awake apple”) and pseudoword phrases (“awake gufel”) while performing an implicit and an explicit semantic task. We identified neural signatures for distinct processes during basic semantic composition. When lexical information is kept constant across conditions and the evaluation of phrasal plausibility is examined (meaningful vs. anomalous phrases), a small set of mostly left-hemispheric semantic regions, including the anterior part of the left angular gyrus, is found active. Conversely, when the load of lexical information—independently of phrasal plausibility—is varied (meaningful or anomalous vs. pseudoword phrases), conceptual combination involves a wide-spread left-hemispheric network comprising executive semantic control regions and general conceptual representation regions. Within this network, the functional coupling between the left anterior inferior frontal gyrus, the bilateral pre-supplementary motor area and the posterior angular gyrus specifically increases for meaningful phrases relative to pseudoword phrases. Stronger effects in the explicit task further suggest task-dependent neural recruitment. Overall, we provide a separation between distinct nodes of the semantic network, whose functional contributions depend on the type of compositional process under analysis.","container-title":"Brain Structure and Function","DOI":"10.1007/s00429-020-02196-2","ISSN":"1863-2661","issue":"2","journalAbbreviation":"Brain Struct Funct","language":"en","page":"501-518","source":"Springer Link","title":"Differential contributions of left-hemispheric language regions to basic semantic composition","volume":"226","author":[{"family":"Graessner","given":"Astrid"},{"family":"Zaccarella","given":"Emiliano"},{"family":"Hartwigsen","given":"Gesa"}],"issued":{"date-parts":[["2021",3,1]]}}},{"id":119,"uris":["http://zotero.org/users/6332862/items/VNZUNA53"],"uri":["http://zotero.org/users/6332862/items/VNZUNA53"],"itemData":{"id":119,"type":"article-journal","abstract":"Human language allows us to create an infinitude of ideas from a finite set of basic building blocks. What is the neurobiology of this combinatory system? Research has begun to dissect the neural basis of natural language syntax and semantics by analyzing the basics of meaning composition, such as two-word phrases. This work has revealed a system of composition that involves rapidly peaking activity in the left anterior temporal lobe and later engagement of the medial prefrontal cortex. Both brain regions show evidence of shared processing between comprehension and production, as well as between spoken and signed language. Both appear to compute meaning, not syntactic structure. This Review discusses how language builds meaning and lays out directions for future neurobiological research on the combinatory system.","container-title":"Science","DOI":"10.1126/science.aax0050","issue":"6461","journalAbbreviation":"Science","page":"62","title":"The neural basis of combinatory syntax and semantics","volume":"366","author":[{"family":"Pylkkänen","given":"Liina"}],"issued":{"date-parts":[["2019",10,4]]}}},{"id":842,"uris":["http://zotero.org/users/6332862/items/VTY7D8CM"],"uri":["http://zotero.org/users/6332862/items/VTY7D8CM"],"itemData":{"id":842,"type":"article-journal","abstract":"Language is our mind's most powerful generative system for the expression of meaning and thought. What are the neural mechanisms of our ability to compose complex meanings from simpler representations? This question is impossible to answer unless we decompose the notion of ‘meaning composition’ in some theoretically guided way and then begin to assess the extent to which brain activity tracks the posited subroutines. Here, I summarize results from a body of MEG research that has begun to address this question from the ground up, first focusing on simple combinations of two words. The work sets off with a hypothesis space offered by theoretical linguistics, positing syntactic and logico-semantic composition as the main combinatory routines, but then reveals that the most consistent and prominent reflection of composition, localized in the left anterior temporal cortex at 200–250 ms, cannot be described with this toolkit. Instead, this activity tracks a much more conceptually driven process, robustly sensitive to the density of the conceptual feature space of the composing items. I will describe our functional understanding of this activity and how it may operate within a broader ‘combinatory network.’This article is part of the theme issue ‘Towards mechanistic models of meaning composition’.","container-title":"Philosophical Transactions of the Royal Society B: Biological Sciences","DOI":"10.1098/rstb.2019.0299","issue":"1791","note":"publisher: Royal Society","page":"20190299","source":"royalsocietypublishing.org (Atypon)","title":"Neural basis of basic composition: what we have learned from the red–boat studies and their extensions","title-short":"Neural basis of basic composition","volume":"375","author":[{"family":"Pylkkänen","given":"Liina"}],"issued":{"date-parts":[["2020",2,3]]}}},{"id":126,"uris":["http://zotero.org/users/6332862/items/GYKSE7C6"],"uri":["http://zotero.org/users/6332862/items/GYKSE7C6"],"itemData":{"id":126,"type":"article-journal","abstract":"Linguistic expressions consist of sequences of words combined together to form phrases and sentences. The neurocognitive process handling word combination is drawing increasing attention among the neuroscientific community, given that the underlying syntactic and semantic mechanisms of such basic combinations—although essential to the generation of more complex structures—still need to be consistently determined. The current experiment was conducted to disentangle the neural networks supporting syntactic and semantic processing at the level of two-word combinations. We manipulated the combinatorial load by using words of different grammatical classes within the phrase, such that determiner-noun combinations (this ship) were used to boost neural activity in syntax-related areas, while adjective-noun combinations (blue ship) were conversely used to measure neural response in semantic-related combinations. By means of functional magnetic resonance imaging (fMRI), we found that syntax-related processing mainly activates the most ventral part of the inferior frontal gyrus (IFG), along the frontal operculum (FOP) and anterior insula (aINS). Fine-grained analysis in BA44 confirmed that the most inferior-ventral portion is highly sensitive to syntactic computations driven by function words. Semantic-related processing on the contrary, rather engages the anterior dorsal part of the left IFG and the left angular gyrus (AG) that is two regions which appear to perform different functions within the semantic network. Our findings suggest that syntactic and semantic contribution to phrasal formation can be already differentiated at a very basic level, with each of these two processes comprising non-overlapping areas on the cerebral cortex. Specifically, they confirm the role of the ventral IFG for the construction of syntactically legal linguistic constructions, and the prominence of the more anterior IFG and the AG for conceptual semantics.","container-title":"Cortex","DOI":"10.1016/j.cortex.2017.09.002","ISSN":"0010-9452","journalAbbreviation":"Cortex","language":"en","page":"105-120","source":"ScienceDirect","title":"Differential cortical contribution of syntax and semantics: An fMRI study on two-word phrasal processing","title-short":"Differential cortical contribution of syntax and semantics","volume":"96","author":[{"family":"Schell","given":"Marianne"},{"family":"Zaccarella","given":"Emiliano"},{"family":"Friederici","given":"Angela D."}],"issued":{"date-parts":[["2017",11,1]]}}}],"schema":"https://github.com/citation-style-language/schema/raw/master/csl-citation.json"} </w:instrText>
      </w:r>
      <w:r w:rsidRPr="00D007EB">
        <w:rPr>
          <w:rFonts w:ascii="Times New Roman" w:eastAsia="Times New Roman" w:hAnsi="Times New Roman" w:cs="Times New Roman"/>
          <w:i/>
          <w:iCs/>
          <w:sz w:val="22"/>
          <w:szCs w:val="22"/>
        </w:rPr>
        <w:fldChar w:fldCharType="separate"/>
      </w:r>
      <w:r w:rsidRPr="00D007EB">
        <w:rPr>
          <w:rFonts w:ascii="Times New Roman" w:hAnsi="Times New Roman" w:cs="Times New Roman"/>
          <w:sz w:val="22"/>
          <w:szCs w:val="22"/>
        </w:rPr>
        <w:t>(Baron &amp; Osherson, 2011; Coutanche et al., 2019; Graessner et al., 2021; Pylkkänen, 2019, 2020; Schell et al., 2017)</w:t>
      </w:r>
      <w:r w:rsidRPr="00D007EB">
        <w:rPr>
          <w:rFonts w:ascii="Times New Roman" w:eastAsia="Times New Roman" w:hAnsi="Times New Roman" w:cs="Times New Roman"/>
          <w:i/>
          <w:iCs/>
          <w:sz w:val="22"/>
          <w:szCs w:val="22"/>
        </w:rPr>
        <w:fldChar w:fldCharType="end"/>
      </w:r>
      <w:r w:rsidRPr="00D007EB">
        <w:rPr>
          <w:rFonts w:ascii="Times New Roman" w:hAnsi="Times New Roman" w:cs="Times New Roman"/>
          <w:sz w:val="22"/>
          <w:szCs w:val="22"/>
        </w:rPr>
        <w:t xml:space="preserve">, leaving open the question of how the brain processes abstract phrases. One way to begin addressing this issue is to ask if the neural systems subserve meaning composition of concrete phrases also support the combination of abstract phrases. Semantic dementia patient data hint at a common role of ATL for both phrase types </w:t>
      </w:r>
      <w:r w:rsidRPr="00D007EB">
        <w:rPr>
          <w:rFonts w:ascii="Times New Roman" w:hAnsi="Times New Roman" w:cs="Times New Roman"/>
          <w:sz w:val="22"/>
          <w:szCs w:val="22"/>
        </w:rPr>
        <w:fldChar w:fldCharType="begin"/>
      </w:r>
      <w:r w:rsidRPr="00D007EB">
        <w:rPr>
          <w:rFonts w:ascii="Times New Roman" w:hAnsi="Times New Roman" w:cs="Times New Roman"/>
          <w:sz w:val="22"/>
          <w:szCs w:val="22"/>
        </w:rPr>
        <w:instrText xml:space="preserve"> ADDIN ZOTERO_ITEM CSL_CITATION {"citationID":"LVTwqXpt","properties":{"formattedCitation":"(Jefferies et al., 2009)","plainCitation":"(Jefferies et al., 2009)","noteIndex":0},"citationItems":[{"id":1179,"uris":["http://zotero.org/users/6332862/items/IXSSS4HW"],"uri":["http://zotero.org/users/6332862/items/IXSSS4HW"],"itemData":{"id":1179,"type":"article-journal","abstract":"The vast majority of brain-injured patients with semantic impairment have better comprehension of concrete than abstract words. In contrast, several patients with semantic dementia (SD), who show circumscribed atrophy of the anterior temporal lobes bilaterally, have been reported to show reverse imageability effects, that is, relative preservation of abstract knowledge. Although these reports largely concern individual patients, some researchers have recently proposed that superior comprehension of abstract concepts is a characteristic feature of SD. This would imply that the anterior temporal lobes are particularly crucial for processing sensory aspects of semantic knowledge, which are associated with concrete not abstract concepts. However, functional neuroimaging studies of healthy participants do not unequivocally predict reverse imageability effects in SD because the temporal poles sometimes show greater activation for more abstract concepts. The authors examined a case-series of 11 SD patients on a synonym judgment test that orthogonally varied the frequency and imageability of the items. All patients had higher success rates for more imageable as well as more frequent words, suggesting that (1) the anterior temporal lobes underpin semantic knowledge for both concrete and abstract concepts, (2) more imageable items—perhaps because of their richer multimodal representations—are typically more robust in the face of global semantic degradation and (3) reverse imageability effects are not a characteristic feature of SD. (PsycINFO Database Record (c) 2016 APA, all rights reserved)","container-title":"Neuropsychology","DOI":"10.1037/a0015452","ISSN":"1931-1559","issue":"4","note":"publisher-place: US\npublisher: American Psychological Association","page":"492-499","source":"APA PsycNet","title":"Comprehension of concrete and abstract words in semantic dementia","volume":"23","author":[{"family":"Jefferies","given":"Elizabeth"},{"family":"Patterson","given":"Karalyn"},{"family":"Jones","given":"Roy W."},{"family":"Lambon Ralph","given":"Matthew A."}],"issued":{"date-parts":[["2009"]]}}}],"schema":"https://github.com/citation-style-language/schema/raw/master/csl-citation.json"} </w:instrText>
      </w:r>
      <w:r w:rsidRPr="00D007EB">
        <w:rPr>
          <w:rFonts w:ascii="Times New Roman" w:hAnsi="Times New Roman" w:cs="Times New Roman"/>
          <w:sz w:val="22"/>
          <w:szCs w:val="22"/>
        </w:rPr>
        <w:fldChar w:fldCharType="separate"/>
      </w:r>
      <w:r w:rsidRPr="00D007EB">
        <w:rPr>
          <w:rFonts w:ascii="Times New Roman" w:hAnsi="Times New Roman" w:cs="Times New Roman"/>
          <w:noProof/>
          <w:sz w:val="22"/>
          <w:szCs w:val="22"/>
        </w:rPr>
        <w:t>(Jefferies et al., 2009)</w:t>
      </w:r>
      <w:r w:rsidRPr="00D007EB">
        <w:rPr>
          <w:rFonts w:ascii="Times New Roman" w:hAnsi="Times New Roman" w:cs="Times New Roman"/>
          <w:sz w:val="22"/>
          <w:szCs w:val="22"/>
        </w:rPr>
        <w:fldChar w:fldCharType="end"/>
      </w:r>
      <w:r w:rsidRPr="00D007EB">
        <w:rPr>
          <w:rFonts w:ascii="Times New Roman" w:hAnsi="Times New Roman" w:cs="Times New Roman"/>
          <w:sz w:val="22"/>
          <w:szCs w:val="22"/>
        </w:rPr>
        <w:t xml:space="preserve">. However, abstract vs. concrete composition may differentially engage representational and control regions (Lambon Ralph et al., 2017), due to the greater context-dependence of abstract representations </w:t>
      </w:r>
      <w:r w:rsidRPr="00D007EB">
        <w:rPr>
          <w:rFonts w:ascii="Times New Roman" w:hAnsi="Times New Roman" w:cs="Times New Roman"/>
          <w:sz w:val="22"/>
          <w:szCs w:val="22"/>
        </w:rPr>
        <w:fldChar w:fldCharType="begin"/>
      </w:r>
      <w:r w:rsidRPr="00D007EB">
        <w:rPr>
          <w:rFonts w:ascii="Times New Roman" w:hAnsi="Times New Roman" w:cs="Times New Roman"/>
          <w:sz w:val="22"/>
          <w:szCs w:val="22"/>
        </w:rPr>
        <w:instrText xml:space="preserve"> ADDIN ZOTERO_ITEM CSL_CITATION {"citationID":"BLz55AkV","properties":{"formattedCitation":"(Hoffman et al., 2010, 2015, 2018)","plainCitation":"(Hoffman et al., 2010, 2015, 2018)","noteIndex":0},"citationItems":[{"id":1206,"uris":["http://zotero.org/users/6332862/items/CHL96WED"],"uri":["http://zotero.org/users/6332862/items/CHL96WED"],"itemData":{"id":1206,"type":"article-journal","abstract":"APA PsycNet FullTextHTML page","container-title":"Psychological Review","DOI":"10.1037/rev0000094","ISSN":"1939-1471","issue":"3","language":"en","note":"publisher: US: American Psychological Association","page":"293","source":"doi.apa.org","title":"Concepts, control, and context: A connectionist account of normal and disordered semantic cognition.","title-short":"Concepts, control, and context","volume":"125","author":[{"family":"Hoffman","given":"Paul"},{"family":"McClelland","given":"James L."},{"family":"Lambon Ralph","given":"Matthew A."}],"issued":{"date-parts":[["2018"]]}}},{"id":1033,"uris":["http://zotero.org/users/6332862/items/Y2J74S6X"],"uri":["http://zotero.org/users/6332862/items/Y2J74S6X"],"itemData":{"id":1033,"type":"article-journal","abstract":"Neuroimaging studies reliably reveal ventrolateral prefrontal cortex (VLPFC) activation for processing of abstract relative to concrete words, but the cause of this effect is unclear. Here, in a convergent neuropsychological and repetitive transcranial magnetic stimulation (rTMS) investigation, we tested the hypothesis that abstract words require VLPFC because they depend heavily on the semantic–executive control processes mediated by this region. Specifically, we hypothesized that accessing the meanings of abstract words require more executive regulation because they have variable, context-dependent meanings. In the neuropsychology component of the study, aphasic patients with multimodal semantic deficits following VLPFC lesions had impaired comprehension of abstract words, but this deficit was ameliorated by providing a sentence cue that placed the word in a specific context. Concrete words were better comprehended and showed more limited benefit from the cues. In the second part of the study, rTMS applied to left VLPFC in healthy subjects slowed reaction times to abstract but not concrete words, but only when words were presented out of context. TMS had no effect when words were preceded by a contextual cue. These converging results indicate that VLPFC plays an executive regulation role in the processing of abstract words. This role is less critical when words are presented with a context that guides the system toward a particular meaning or interpretation. Regulation is less important for concrete words because their meanings are constrained by their physical referents and do not tend to vary with context.","container-title":"Journal of Neuroscience","DOI":"10.1523/JNEUROSCI.3783-10.2010","ISSN":"0270-6474, 1529-2401","issue":"46","journalAbbreviation":"J. Neurosci.","language":"en","note":"publisher: Society for Neuroscience\nsection: Articles\nPMID: 21084601","page":"15450-15456","source":"www.jneurosci.org","title":"Ventrolateral Prefrontal Cortex Plays an Executive Regulation Role in Comprehension of Abstract Words: Convergent Neuropsychological and Repetitive TMS Evidence","title-short":"Ventrolateral Prefrontal Cortex Plays an Executive Regulation Role in Comprehension of Abstract Words","volume":"30","author":[{"family":"Hoffman","given":"Paul"},{"family":"Jefferies","given":"Elizabeth"},{"family":"Ralph","given":"Matthew A. Lambon"}],"issued":{"date-parts":[["2010",11,17]]}}},{"id":1047,"uris":["http://zotero.org/users/6332862/items/ANP9GMT9"],"uri":["http://zotero.org/users/6332862/items/ANP9GMT9"],"itemData":{"id":1047,"type":"article-journal","abstract":"Semantic cognition is underpinned by regions involved in representing conceptual knowledge and executive control areas that provide regulation of this information according to current task requirements. Using distortion-corrected fMRI, we investigated the contributions of these two systems to abstract and concrete word comprehension. We contrasted semantic decisions made either with coherent contextual support, which encouraged retrieval of a rich conceptual representation, or with irrelevant contextual information, which instead maximised demands on control processes. Inferior prefrontal cortex was activated more when decisions were made in the presence of irrelevant context, suggesting that this region is crucial for the semantic control functions required to select appropriate aspects of meaning in the face of competing information. It also exhibited greater activation for abstract words, which reflects the fact that abstract words tend to have variable, context-dependent meanings that place higher demands on control processes. In contrast, anterior temporal regions (ATL) were most active when decisions were made with the benefit of a coherent context, suggesting a representational role. There was a graded shift in concreteness effects in this region, with dorsolateral areas particularly active for abstract words and ventromedial areas preferentially activated by concrete words. This supports the idea that concrete concepts are closely associated with visual experience and abstract concepts with auditory-verbal information; and that sub-regions of the ATL display graded specialisation for these two types of knowledge. Between these two extremes, we identified significant activations for both word types in ventrolateral ATL. This area is known to be involved in representing knowledge for concrete concepts; here we established that it is also activated by abstract concepts. These results converge with data from rTMS and neuropsychological investigations in demonstrating that representational content and task demands influence recruitment of different areas in the semantic network.","container-title":"Cortex","DOI":"10.1016/j.cortex.2014.09.001","ISSN":"0010-9452","journalAbbreviation":"Cortex","language":"en","page":"250-266","source":"ScienceDirect","title":"Differing contributions of inferior prefrontal and anterior temporal cortex to concrete and abstract conceptual knowledge","volume":"63","author":[{"family":"Hoffman","given":"Paul"},{"family":"Binney","given":"Richard J."},{"family":"Lambon Ralph","given":"Matthew A."}],"issued":{"date-parts":[["2015",2,1]]}}}],"schema":"https://github.com/citation-style-language/schema/raw/master/csl-citation.json"} </w:instrText>
      </w:r>
      <w:r w:rsidRPr="00D007EB">
        <w:rPr>
          <w:rFonts w:ascii="Times New Roman" w:hAnsi="Times New Roman" w:cs="Times New Roman"/>
          <w:sz w:val="22"/>
          <w:szCs w:val="22"/>
        </w:rPr>
        <w:fldChar w:fldCharType="separate"/>
      </w:r>
      <w:r w:rsidRPr="00D007EB">
        <w:rPr>
          <w:rFonts w:ascii="Times New Roman" w:hAnsi="Times New Roman" w:cs="Times New Roman"/>
          <w:noProof/>
          <w:sz w:val="22"/>
          <w:szCs w:val="22"/>
        </w:rPr>
        <w:t>(Hoffman et al., 2010, 2015, 2018)</w:t>
      </w:r>
      <w:r w:rsidRPr="00D007EB">
        <w:rPr>
          <w:rFonts w:ascii="Times New Roman" w:hAnsi="Times New Roman" w:cs="Times New Roman"/>
          <w:sz w:val="22"/>
          <w:szCs w:val="22"/>
        </w:rPr>
        <w:fldChar w:fldCharType="end"/>
      </w:r>
      <w:r w:rsidRPr="00D007EB">
        <w:rPr>
          <w:rFonts w:ascii="Times New Roman" w:hAnsi="Times New Roman" w:cs="Times New Roman"/>
          <w:sz w:val="22"/>
          <w:szCs w:val="22"/>
        </w:rPr>
        <w:t>.</w:t>
      </w:r>
    </w:p>
    <w:p w14:paraId="212CAE45" w14:textId="5BC94099" w:rsidR="005B75F2" w:rsidRDefault="005B75F2">
      <w:pPr>
        <w:rPr>
          <w:rFonts w:ascii="Times New Roman" w:hAnsi="Times New Roman" w:cs="Times New Roman"/>
        </w:rPr>
      </w:pPr>
    </w:p>
    <w:p w14:paraId="52C01A61" w14:textId="2EC0CB30" w:rsidR="00191E6C" w:rsidRDefault="00191E6C">
      <w:pPr>
        <w:rPr>
          <w:rFonts w:ascii="Times New Roman" w:hAnsi="Times New Roman" w:cs="Times New Roman"/>
        </w:rPr>
      </w:pPr>
    </w:p>
    <w:p w14:paraId="353FC302" w14:textId="6A290402" w:rsidR="00191E6C" w:rsidRDefault="00191E6C">
      <w:pPr>
        <w:rPr>
          <w:rFonts w:ascii="Times New Roman" w:hAnsi="Times New Roman" w:cs="Times New Roman"/>
        </w:rPr>
      </w:pPr>
    </w:p>
    <w:p w14:paraId="428BAA3A" w14:textId="030E4353" w:rsidR="00191E6C" w:rsidRDefault="00191E6C">
      <w:pPr>
        <w:spacing w:after="160" w:line="259" w:lineRule="auto"/>
        <w:rPr>
          <w:rFonts w:ascii="Times New Roman" w:hAnsi="Times New Roman" w:cs="Times New Roman"/>
        </w:rPr>
      </w:pPr>
      <w:r>
        <w:rPr>
          <w:rFonts w:ascii="Times New Roman" w:hAnsi="Times New Roman" w:cs="Times New Roman"/>
        </w:rPr>
        <w:br w:type="page"/>
      </w:r>
    </w:p>
    <w:p w14:paraId="078FCBEC" w14:textId="2D932FFF" w:rsidR="004A7C4A" w:rsidRDefault="004A7C4A">
      <w:pPr>
        <w:rPr>
          <w:rFonts w:ascii="Times New Roman" w:hAnsi="Times New Roman" w:cs="Times New Roman"/>
          <w:b/>
        </w:rPr>
      </w:pPr>
      <w:r>
        <w:rPr>
          <w:rFonts w:ascii="Times New Roman" w:hAnsi="Times New Roman" w:cs="Times New Roman"/>
          <w:b/>
        </w:rPr>
        <w:lastRenderedPageBreak/>
        <w:t>Binder et al., 2005</w:t>
      </w:r>
      <w:r w:rsidRPr="004A7C4A">
        <w:rPr>
          <w:rFonts w:ascii="Times New Roman" w:hAnsi="Times New Roman" w:cs="Times New Roman"/>
        </w:rPr>
        <w:t>:</w:t>
      </w:r>
      <w:r>
        <w:rPr>
          <w:rFonts w:ascii="Times New Roman" w:hAnsi="Times New Roman" w:cs="Times New Roman"/>
          <w:b/>
        </w:rPr>
        <w:t xml:space="preserve"> </w:t>
      </w:r>
      <w:r w:rsidRPr="004A7C4A">
        <w:rPr>
          <w:rFonts w:ascii="Times New Roman" w:hAnsi="Times New Roman" w:cs="Times New Roman"/>
        </w:rPr>
        <w:t>abstract more left</w:t>
      </w:r>
      <w:r>
        <w:rPr>
          <w:rFonts w:ascii="Times New Roman" w:hAnsi="Times New Roman" w:cs="Times New Roman"/>
        </w:rPr>
        <w:t xml:space="preserve"> lateralised and IFG centred, concrete more bilateral and AG centred</w:t>
      </w:r>
    </w:p>
    <w:p w14:paraId="21BA520A" w14:textId="5C1AB49D" w:rsidR="00191E6C" w:rsidRDefault="00191E6C">
      <w:pPr>
        <w:rPr>
          <w:rFonts w:ascii="Times New Roman" w:hAnsi="Times New Roman" w:cs="Times New Roman"/>
        </w:rPr>
      </w:pPr>
      <w:r w:rsidRPr="00191E6C">
        <w:rPr>
          <w:rFonts w:ascii="Times New Roman" w:hAnsi="Times New Roman" w:cs="Times New Roman"/>
          <w:b/>
        </w:rPr>
        <w:t>Binder et al., 2009</w:t>
      </w:r>
      <w:r>
        <w:rPr>
          <w:rFonts w:ascii="Times New Roman" w:hAnsi="Times New Roman" w:cs="Times New Roman"/>
        </w:rPr>
        <w:t xml:space="preserve">: </w:t>
      </w:r>
      <w:r w:rsidRPr="00191E6C">
        <w:rPr>
          <w:rFonts w:ascii="Times New Roman" w:hAnsi="Times New Roman" w:cs="Times New Roman"/>
        </w:rPr>
        <w:t xml:space="preserve">Abstract concepts elicit greater activity in </w:t>
      </w:r>
      <w:r w:rsidR="004A7C4A">
        <w:rPr>
          <w:rFonts w:ascii="Times New Roman" w:hAnsi="Times New Roman" w:cs="Times New Roman"/>
        </w:rPr>
        <w:t xml:space="preserve">IFG </w:t>
      </w:r>
      <w:r w:rsidRPr="00191E6C">
        <w:rPr>
          <w:rFonts w:ascii="Times New Roman" w:hAnsi="Times New Roman" w:cs="Times New Roman"/>
        </w:rPr>
        <w:t xml:space="preserve">and </w:t>
      </w:r>
      <w:r w:rsidR="004A7C4A">
        <w:rPr>
          <w:rFonts w:ascii="Times New Roman" w:hAnsi="Times New Roman" w:cs="Times New Roman"/>
        </w:rPr>
        <w:t xml:space="preserve">MTG </w:t>
      </w:r>
      <w:r w:rsidRPr="00191E6C">
        <w:rPr>
          <w:rFonts w:ascii="Times New Roman" w:hAnsi="Times New Roman" w:cs="Times New Roman"/>
        </w:rPr>
        <w:t xml:space="preserve">compared to concrete concepts, while concrete concepts elicit greater activity in the posterior cingulate, </w:t>
      </w:r>
      <w:proofErr w:type="spellStart"/>
      <w:r w:rsidRPr="00191E6C">
        <w:rPr>
          <w:rFonts w:ascii="Times New Roman" w:hAnsi="Times New Roman" w:cs="Times New Roman"/>
        </w:rPr>
        <w:t>precuneus</w:t>
      </w:r>
      <w:proofErr w:type="spellEnd"/>
      <w:r w:rsidRPr="00191E6C">
        <w:rPr>
          <w:rFonts w:ascii="Times New Roman" w:hAnsi="Times New Roman" w:cs="Times New Roman"/>
        </w:rPr>
        <w:t xml:space="preserve">, fusiform gyrus, and </w:t>
      </w:r>
      <w:proofErr w:type="spellStart"/>
      <w:r w:rsidRPr="00191E6C">
        <w:rPr>
          <w:rFonts w:ascii="Times New Roman" w:hAnsi="Times New Roman" w:cs="Times New Roman"/>
        </w:rPr>
        <w:t>parahippocampal</w:t>
      </w:r>
      <w:proofErr w:type="spellEnd"/>
      <w:r w:rsidRPr="00191E6C">
        <w:rPr>
          <w:rFonts w:ascii="Times New Roman" w:hAnsi="Times New Roman" w:cs="Times New Roman"/>
        </w:rPr>
        <w:t xml:space="preserve"> gyrus compared to abstract concepts</w:t>
      </w:r>
    </w:p>
    <w:p w14:paraId="453DBBDC" w14:textId="14675AFF" w:rsidR="004A7C4A" w:rsidRPr="00191E6C" w:rsidRDefault="004A7C4A">
      <w:pPr>
        <w:rPr>
          <w:rFonts w:ascii="Times New Roman" w:hAnsi="Times New Roman" w:cs="Times New Roman"/>
        </w:rPr>
      </w:pPr>
      <w:r w:rsidRPr="004A7C4A">
        <w:rPr>
          <w:rFonts w:ascii="Times New Roman" w:hAnsi="Times New Roman" w:cs="Times New Roman"/>
          <w:b/>
        </w:rPr>
        <w:t>Jefferies, Patterns, Jones, &amp; Lambon-Ralph, 2009</w:t>
      </w:r>
      <w:r>
        <w:rPr>
          <w:rFonts w:ascii="Times New Roman" w:hAnsi="Times New Roman" w:cs="Times New Roman"/>
        </w:rPr>
        <w:t>: neuropsychological evidence that ATL underpins both abstract and concrete</w:t>
      </w:r>
      <w:bookmarkStart w:id="0" w:name="_GoBack"/>
      <w:bookmarkEnd w:id="0"/>
    </w:p>
    <w:p w14:paraId="05B2912E" w14:textId="7B68537C" w:rsidR="00191E6C" w:rsidRDefault="00191E6C" w:rsidP="00191E6C">
      <w:pPr>
        <w:rPr>
          <w:rFonts w:ascii="Times New Roman" w:hAnsi="Times New Roman" w:cs="Times New Roman"/>
        </w:rPr>
      </w:pPr>
      <w:r w:rsidRPr="00191E6C">
        <w:rPr>
          <w:rFonts w:ascii="Times New Roman" w:hAnsi="Times New Roman" w:cs="Times New Roman"/>
          <w:b/>
        </w:rPr>
        <w:t xml:space="preserve">Hoffman, </w:t>
      </w:r>
      <w:proofErr w:type="spellStart"/>
      <w:r w:rsidRPr="00191E6C">
        <w:rPr>
          <w:rFonts w:ascii="Times New Roman" w:hAnsi="Times New Roman" w:cs="Times New Roman"/>
          <w:b/>
        </w:rPr>
        <w:t>Binney</w:t>
      </w:r>
      <w:proofErr w:type="spellEnd"/>
      <w:r w:rsidRPr="00191E6C">
        <w:rPr>
          <w:rFonts w:ascii="Times New Roman" w:hAnsi="Times New Roman" w:cs="Times New Roman"/>
          <w:b/>
        </w:rPr>
        <w:t xml:space="preserve">, </w:t>
      </w:r>
      <w:r w:rsidR="004A7C4A">
        <w:rPr>
          <w:rFonts w:ascii="Times New Roman" w:hAnsi="Times New Roman" w:cs="Times New Roman"/>
          <w:b/>
        </w:rPr>
        <w:t xml:space="preserve">&amp; </w:t>
      </w:r>
      <w:r w:rsidRPr="00191E6C">
        <w:rPr>
          <w:rFonts w:ascii="Times New Roman" w:hAnsi="Times New Roman" w:cs="Times New Roman"/>
          <w:b/>
        </w:rPr>
        <w:t>Lambon-Ralph, 2015</w:t>
      </w:r>
      <w:r>
        <w:rPr>
          <w:rFonts w:ascii="Times New Roman" w:hAnsi="Times New Roman" w:cs="Times New Roman"/>
        </w:rPr>
        <w:t>: ventral aspects activated by both abstract and concrete</w:t>
      </w:r>
    </w:p>
    <w:p w14:paraId="4EE299FC" w14:textId="4AC9C000" w:rsidR="00191E6C" w:rsidRDefault="00191E6C" w:rsidP="00191E6C">
      <w:pPr>
        <w:rPr>
          <w:rFonts w:ascii="Times New Roman" w:hAnsi="Times New Roman" w:cs="Times New Roman"/>
        </w:rPr>
      </w:pPr>
      <w:r w:rsidRPr="00191E6C">
        <w:rPr>
          <w:rFonts w:ascii="Times New Roman" w:hAnsi="Times New Roman" w:cs="Times New Roman"/>
          <w:b/>
        </w:rPr>
        <w:t>Lambon-Ralph et al., 2017</w:t>
      </w:r>
      <w:r>
        <w:rPr>
          <w:rFonts w:ascii="Times New Roman" w:hAnsi="Times New Roman" w:cs="Times New Roman"/>
        </w:rPr>
        <w:t>: medial aspects more concrete because of better connectivity to visual systems, superior aspects more abstract because of connectivity to linguistic or auditory systems</w:t>
      </w:r>
      <w:r w:rsidR="004A7C4A">
        <w:rPr>
          <w:rFonts w:ascii="Times New Roman" w:hAnsi="Times New Roman" w:cs="Times New Roman"/>
        </w:rPr>
        <w:t>; in general, ATL for concepts, AG for task-related demands</w:t>
      </w:r>
    </w:p>
    <w:p w14:paraId="7D67DA8D" w14:textId="77777777" w:rsidR="00191E6C" w:rsidRPr="00191E6C" w:rsidRDefault="00191E6C" w:rsidP="00191E6C">
      <w:pPr>
        <w:rPr>
          <w:rFonts w:ascii="Times New Roman" w:hAnsi="Times New Roman" w:cs="Times New Roman"/>
        </w:rPr>
      </w:pPr>
    </w:p>
    <w:sectPr w:rsidR="00191E6C" w:rsidRPr="00191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5599A"/>
    <w:multiLevelType w:val="hybridMultilevel"/>
    <w:tmpl w:val="269CA806"/>
    <w:lvl w:ilvl="0" w:tplc="8056DCE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5071D4"/>
    <w:multiLevelType w:val="hybridMultilevel"/>
    <w:tmpl w:val="DB2EF154"/>
    <w:lvl w:ilvl="0" w:tplc="4D7E409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793"/>
    <w:rsid w:val="00075800"/>
    <w:rsid w:val="00191E6C"/>
    <w:rsid w:val="004A7C4A"/>
    <w:rsid w:val="005A6793"/>
    <w:rsid w:val="005B75F2"/>
    <w:rsid w:val="006424CD"/>
    <w:rsid w:val="006A1262"/>
    <w:rsid w:val="006D5D4B"/>
    <w:rsid w:val="00D007E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DD495"/>
  <w15:chartTrackingRefBased/>
  <w15:docId w15:val="{DD207289-BA88-4514-9603-6642D3E8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4CD"/>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E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2</Pages>
  <Words>8792</Words>
  <Characters>50115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58790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Law</dc:creator>
  <cp:keywords/>
  <dc:description/>
  <cp:lastModifiedBy>Ryan Law</cp:lastModifiedBy>
  <cp:revision>5</cp:revision>
  <dcterms:created xsi:type="dcterms:W3CDTF">2022-12-06T13:13:00Z</dcterms:created>
  <dcterms:modified xsi:type="dcterms:W3CDTF">2022-12-07T15:57:00Z</dcterms:modified>
</cp:coreProperties>
</file>