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80396" w14:textId="14B4724F" w:rsidR="00C63C24" w:rsidRDefault="00C63C24">
      <w:r>
        <w:t>An EEG/MEG investigation into interactions between semantic memory and semantic composition</w:t>
      </w:r>
    </w:p>
    <w:p w14:paraId="6991EAA8" w14:textId="77777777" w:rsidR="00C63C24" w:rsidRDefault="00C63C24"/>
    <w:p w14:paraId="1382D9D3" w14:textId="3845F07F" w:rsidR="00F44E7E" w:rsidRDefault="00C63C24">
      <w:r>
        <w:t>Methods</w:t>
      </w:r>
    </w:p>
    <w:p w14:paraId="0C6631CF" w14:textId="47919C9B" w:rsidR="00C63C24" w:rsidRDefault="00C63C24"/>
    <w:p w14:paraId="6D8A3645" w14:textId="0F6A1D24" w:rsidR="00C63C24" w:rsidRDefault="00C63C24">
      <w:r>
        <w:t>[Why EEG/MEG?]</w:t>
      </w:r>
    </w:p>
    <w:p w14:paraId="36D0E79F" w14:textId="431B15CE" w:rsidR="00C63C24" w:rsidRDefault="00C63C24">
      <w:r>
        <w:t>Semantic memory during language used studied with ERPs (Kutas, Federmeier)</w:t>
      </w:r>
    </w:p>
    <w:p w14:paraId="2AB48D79" w14:textId="537E85BD" w:rsidR="00C63C24" w:rsidRDefault="00C63C24">
      <w:r>
        <w:t xml:space="preserve">Semantic composition studied typically MEG (Pylkkanen’s group) </w:t>
      </w:r>
    </w:p>
    <w:p w14:paraId="37DD87FE" w14:textId="3288B47C" w:rsidR="00C63C24" w:rsidRDefault="00C63C24">
      <w:r>
        <w:t>To further bridge between two literatures, concurrent EEG/MEG is useful.</w:t>
      </w:r>
    </w:p>
    <w:p w14:paraId="4180D057" w14:textId="1178EB55" w:rsidR="00C63C24" w:rsidRDefault="00C63C24">
      <w:r>
        <w:t>Furthermore, the theoretical foundations of these two literatures have neuroanatomical functional details implicating specific brain regions. Concurrent EEG/MEG has been shown to give better source localisation</w:t>
      </w:r>
      <w:r w:rsidR="00B973BC">
        <w:t xml:space="preserve"> [cite Henson and olaf]</w:t>
      </w:r>
      <w:r>
        <w:t>.</w:t>
      </w:r>
    </w:p>
    <w:p w14:paraId="7D1177CD" w14:textId="222DF5DA" w:rsidR="00C63C24" w:rsidRDefault="00C63C24"/>
    <w:p w14:paraId="583D61C5" w14:textId="1C880E1E" w:rsidR="00C63C24" w:rsidRDefault="003A0105">
      <w:r>
        <w:t>Stimuli</w:t>
      </w:r>
    </w:p>
    <w:p w14:paraId="37268161" w14:textId="178940ED" w:rsidR="003A0105" w:rsidRDefault="00692BCD">
      <w:r>
        <w:t xml:space="preserve">To construct two-word adjective-noun phrases that varied concreteness, we </w:t>
      </w:r>
      <w:r w:rsidR="003A0105">
        <w:t>start</w:t>
      </w:r>
      <w:r>
        <w:t>ed</w:t>
      </w:r>
      <w:r w:rsidR="003A0105">
        <w:t xml:space="preserve"> with the head noun. </w:t>
      </w:r>
      <w:r>
        <w:t xml:space="preserve">Prior work has shown that words that differ in concreteness also </w:t>
      </w:r>
      <w:r w:rsidR="00534A27">
        <w:t xml:space="preserve">(unavoidably) </w:t>
      </w:r>
      <w:r>
        <w:t xml:space="preserve">differed in a number of psycholinguistic variables, such as lexical frequency, word length, and age of acquisition </w:t>
      </w:r>
      <w:r>
        <w:fldChar w:fldCharType="begin"/>
      </w:r>
      <w:r>
        <w:instrText xml:space="preserve"> ADDIN ZOTERO_ITEM CSL_CITATION {"citationID":"iSnPtgfm","properties":{"formattedCitation":"(Hoffman et al., 2015)","plainCitation":"(Hoffman et al., 2015)","noteIndex":0},"citationItems":[{"id":1124,"uris":["http://zotero.org/users/6332862/items/ANP9GMT9"],"itemData":{"id":1124,"type":"article-journal","abstract":"Semantic cognition is underpinned by regions involved in representing conceptual knowledge and executive control areas that provide regulation of this information according to current task requirements. Using distortion-corrected fMRI, we investigated the contributions of these two systems to abstract and concrete word comprehension. We contrasted semantic decisions made either with coherent contextual support, which encouraged retrieval of a rich conceptual representation, or with irrelevant contextual information, which instead maximised demands on control processes. Inferior prefrontal cortex was activated more when decisions were made in the presence of irrelevant context, suggesting that this region is crucial for the semantic control functions required to select appropriate aspects of meaning in the face of competing information. It also exhibited greater activation for abstract words, which reflects the fact that abstract words tend to have variable, context-dependent meanings that place higher demands on control processes. In contrast, anterior temporal regions (ATL) were most active when decisions were made with the benefit of a coherent context, suggesting a representational role. There was a graded shift in concreteness effects in this region, with dorsolateral areas particularly active for abstract words and ventromedial areas preferentially activated by concrete words. This supports the idea that concrete concepts are closely associated with visual experience and abstract concepts with auditory-verbal information; and that sub-regions of the ATL display graded specialisation for these two types of knowledge. Between these two extremes, we identified significant activations for both word types in ventrolateral ATL. This area is known to be involved in representing knowledge for concrete concepts; here we established that it is also activated by abstract concepts. These results converge with data from rTMS and neuropsychological investigations in demonstrating that representational content and task demands influence recruitment of different areas in the semantic network.","container-title":"Cortex","DOI":"10.1016/j.cortex.2014.09.001","ISSN":"0010-9452","journalAbbreviation":"Cortex","language":"en","page":"250-266","source":"ScienceDirect","title":"Differing contributions of inferior prefrontal and anterior temporal cortex to concrete and abstract conceptual knowledge","volume":"63","author":[{"family":"Hoffman","given":"Paul"},{"family":"Binney","given":"Richard J."},{"family":"Lambon Ralph","given":"Matthew A."}],"issued":{"date-parts":[["2015",2,1]]}}}],"schema":"https://github.com/citation-style-language/schema/raw/master/csl-citation.json"} </w:instrText>
      </w:r>
      <w:r>
        <w:fldChar w:fldCharType="separate"/>
      </w:r>
      <w:r>
        <w:rPr>
          <w:noProof/>
        </w:rPr>
        <w:t>(e.g., Hoffman et al., 2015)</w:t>
      </w:r>
      <w:r>
        <w:fldChar w:fldCharType="end"/>
      </w:r>
      <w:r>
        <w:t xml:space="preserve">. </w:t>
      </w:r>
      <w:r w:rsidR="00066334">
        <w:t xml:space="preserve">We thus found </w:t>
      </w:r>
      <w:r>
        <w:t xml:space="preserve">pairs of concrete and abstract words that differ </w:t>
      </w:r>
      <w:r w:rsidR="0055444B">
        <w:t>in their concreteness ratings whilst matching these psycholinguistic variables</w:t>
      </w:r>
      <w:r w:rsidR="00066334">
        <w:t xml:space="preserve"> </w:t>
      </w:r>
      <w:r w:rsidR="00534A27">
        <w:t xml:space="preserve">as much as possible </w:t>
      </w:r>
      <w:r w:rsidR="00066334">
        <w:t xml:space="preserve">using LexOPS </w:t>
      </w:r>
      <w:r w:rsidR="00066334">
        <w:fldChar w:fldCharType="begin"/>
      </w:r>
      <w:r w:rsidR="006B37B0">
        <w:instrText xml:space="preserve"> ADDIN ZOTERO_ITEM CSL_CITATION {"citationID":"Mv5GOjcS","properties":{"formattedCitation":"(Taylor et al., 2020)","plainCitation":"(Taylor et al., 2020)","noteIndex":0},"citationItems":[{"id":1766,"uris":["http://zotero.org/users/6332862/items/VHHBCTQT"],"itemData":{"id":1766,"type":"article-journal","abstract":"LexOPS is an R package and user interface designed to facilitate the generation of word stimuli for use in research. Notably, the tool permits the generation of suitably controlled word lists for any user-specified factorial design and can be adapted for use with any language. It features an intuitive graphical user interface, including the visualization of both the distributions within and relationships among variables of interest. An inbuilt database of English words is also provided, including a range of lexical variables commonly used in psycholinguistic research. This article introduces LexOPS, outlining the features of the package and detailing the sources of the inbuilt dataset. We also report a validation analysis, showing that, in comparison to stimuli of existing studies, stimuli optimized with LexOPS generally demonstrate greater constraint and consistency in variable manipulation and control. Current instructions for installing and using LexOPS are available at https://JackEdTaylor.github.io/LexOPSdocs/.","container-title":"Behavior Research Methods","DOI":"10.3758/s13428-020-01389-1","ISSN":"1554-3528","issue":"6","journalAbbreviation":"Behav Res","language":"en","page":"2372-2382","source":"Springer Link","title":"LexOPS: An R package and user interface for the controlled generation of word stimuli","title-short":"LexOPS","volume":"52","author":[{"family":"Taylor","given":"Jack E."},{"family":"Beith","given":"Alistair"},{"family":"Sereno","given":"Sara C."}],"issued":{"date-parts":[["2020",12,1]]}}}],"schema":"https://github.com/citation-style-language/schema/raw/master/csl-citation.json"} </w:instrText>
      </w:r>
      <w:r w:rsidR="00066334">
        <w:fldChar w:fldCharType="separate"/>
      </w:r>
      <w:r w:rsidR="006B37B0">
        <w:rPr>
          <w:noProof/>
        </w:rPr>
        <w:t>(Taylor et al., 2020)</w:t>
      </w:r>
      <w:r w:rsidR="00066334">
        <w:fldChar w:fldCharType="end"/>
      </w:r>
      <w:r w:rsidR="0055444B">
        <w:t xml:space="preserve">. </w:t>
      </w:r>
      <w:r w:rsidR="006B37B0">
        <w:t xml:space="preserve">For the concreteness manipulation, </w:t>
      </w:r>
      <w:r w:rsidR="003A0105">
        <w:t xml:space="preserve">we used the concreteness </w:t>
      </w:r>
      <w:r w:rsidR="006B37B0">
        <w:t>norm</w:t>
      </w:r>
      <w:r w:rsidR="003A0105">
        <w:t xml:space="preserve"> from Brysbaert and colleagues </w:t>
      </w:r>
      <w:r w:rsidR="00534BDB">
        <w:fldChar w:fldCharType="begin"/>
      </w:r>
      <w:r w:rsidR="00534BDB">
        <w:instrText xml:space="preserve"> ADDIN ZOTERO_ITEM CSL_CITATION {"citationID":"TqHu19Mh","properties":{"formattedCitation":"(2014)","plainCitation":"(2014)","noteIndex":0},"citationItems":[{"id":87,"uris":["http://zotero.org/users/6332862/items/G8GBGJYS"],"itemData":{"id":87,"type":"article-journal","abstract":"Concreteness ratings are presented for 37,058 English words and 2,896 two-word expressions (such as zebra crossing and zoom in), obtained from over 4,000 participants by means of a norming study using Internet crowdsourcing for data collection. Although the instructions stressed that the assessment of word concreteness would be based on experiences involving all senses and motor responses, a comparison with the existing concreteness norms indicates that participants, as before, largely focused on visual and haptic experiences. The reported data set is a subset of a comprehensive list of English lemmas and contains all lemmas known by at least 85 % of the raters. It can be used in future research as a reference list of generally known English lemmas.","container-title":"Behavior Research Methods","DOI":"10.3758/s13428-013-0403-5","ISSN":"1554-3528","issue":"3","journalAbbreviation":"Behav Res","language":"en","page":"904-911","source":"Springer Link","title":"Concreteness ratings for 40 thousand generally known English word lemmas","volume":"46","author":[{"family":"Brysbaert","given":"Marc"},{"family":"Warriner","given":"Amy Beth"},{"family":"Kuperman","given":"Victor"}],"issued":{"date-parts":[["2014",9,1]]}},"suppress-author":true}],"schema":"https://github.com/citation-style-language/schema/raw/master/csl-citation.json"} </w:instrText>
      </w:r>
      <w:r w:rsidR="00534BDB">
        <w:fldChar w:fldCharType="separate"/>
      </w:r>
      <w:r w:rsidR="00534BDB">
        <w:rPr>
          <w:noProof/>
        </w:rPr>
        <w:t>(2014)</w:t>
      </w:r>
      <w:r w:rsidR="00534BDB">
        <w:fldChar w:fldCharType="end"/>
      </w:r>
      <w:r w:rsidR="003A0105">
        <w:t xml:space="preserve">. </w:t>
      </w:r>
      <w:r w:rsidR="00534BDB">
        <w:t xml:space="preserve">We sampled at the two local maxima in the mean ratings of concreteness across participants. </w:t>
      </w:r>
      <w:r w:rsidR="003A0105">
        <w:t>For concrete</w:t>
      </w:r>
      <w:r>
        <w:t xml:space="preserve"> nouns,</w:t>
      </w:r>
      <w:r w:rsidR="003A0105">
        <w:t xml:space="preserve"> we </w:t>
      </w:r>
      <w:r>
        <w:t>sampled</w:t>
      </w:r>
      <w:r w:rsidR="00534BDB">
        <w:t xml:space="preserve"> at mean ratings between 4 to 5; for abstract nouns, we sampled </w:t>
      </w:r>
      <w:r w:rsidR="006927DA">
        <w:t xml:space="preserve">around the local maximum between </w:t>
      </w:r>
      <w:r w:rsidR="00534BDB">
        <w:t xml:space="preserve">1.5-2.5. </w:t>
      </w:r>
      <w:r w:rsidR="00B736DE">
        <w:t>To ensure that we get a reasonable number of concrete-abstract pairs</w:t>
      </w:r>
      <w:r w:rsidR="00E22377">
        <w:t xml:space="preserve">, </w:t>
      </w:r>
      <w:r w:rsidR="00B736DE">
        <w:t>we allowed some degrees of freedom</w:t>
      </w:r>
      <w:r w:rsidR="00313198">
        <w:t>:</w:t>
      </w:r>
      <w:r w:rsidR="00E22377">
        <w:t xml:space="preserve"> lexical frequency </w:t>
      </w:r>
      <w:r w:rsidR="00E22377">
        <w:fldChar w:fldCharType="begin"/>
      </w:r>
      <w:r w:rsidR="00E22377">
        <w:instrText xml:space="preserve"> ADDIN ZOTERO_ITEM CSL_CITATION {"citationID":"Rpdkx58Y","properties":{"formattedCitation":"(Brysbaert et al., 2014)","plainCitation":"(Brysbaert et al., 2014)","noteIndex":0},"citationItems":[{"id":87,"uris":["http://zotero.org/users/6332862/items/G8GBGJYS"],"itemData":{"id":87,"type":"article-journal","abstract":"Concreteness ratings are presented for 37,058 English words and 2,896 two-word expressions (such as zebra crossing and zoom in), obtained from over 4,000 participants by means of a norming study using Internet crowdsourcing for data collection. Although the instructions stressed that the assessment of word concreteness would be based on experiences involving all senses and motor responses, a comparison with the existing concreteness norms indicates that participants, as before, largely focused on visual and haptic experiences. The reported data set is a subset of a comprehensive list of English lemmas and contains all lemmas known by at least 85 % of the raters. It can be used in future research as a reference list of generally known English lemmas.","container-title":"Behavior Research Methods","DOI":"10.3758/s13428-013-0403-5","ISSN":"1554-3528","issue":"3","journalAbbreviation":"Behav Res","language":"en","page":"904-911","source":"Springer Link","title":"Concreteness ratings for 40 thousand generally known English word lemmas","volume":"46","author":[{"family":"Brysbaert","given":"Marc"},{"family":"Warriner","given":"Amy Beth"},{"family":"Kuperman","given":"Victor"}],"issued":{"date-parts":[["2014",9,1]]}}}],"schema":"https://github.com/citation-style-language/schema/raw/master/csl-citation.json"} </w:instrText>
      </w:r>
      <w:r w:rsidR="00E22377">
        <w:fldChar w:fldCharType="separate"/>
      </w:r>
      <w:r w:rsidR="00E22377">
        <w:rPr>
          <w:noProof/>
        </w:rPr>
        <w:t>(</w:t>
      </w:r>
      <w:r w:rsidR="00E22377">
        <w:t>here calculated on the Zipf scale</w:t>
      </w:r>
      <w:r w:rsidR="00313198">
        <w:t xml:space="preserve">, </w:t>
      </w:r>
      <w:r w:rsidR="004C2430">
        <w:sym w:font="Symbol" w:char="F0B1"/>
      </w:r>
      <w:r w:rsidR="00313198">
        <w:t>0.3</w:t>
      </w:r>
      <w:r w:rsidR="00E22377">
        <w:t xml:space="preserve">; </w:t>
      </w:r>
      <w:r w:rsidR="00E22377">
        <w:rPr>
          <w:noProof/>
        </w:rPr>
        <w:t>Brysbaert et al., 2014)</w:t>
      </w:r>
      <w:r w:rsidR="00E22377">
        <w:fldChar w:fldCharType="end"/>
      </w:r>
      <w:r w:rsidR="00E22377">
        <w:t>, word length</w:t>
      </w:r>
      <w:r w:rsidR="004C2430">
        <w:t xml:space="preserve"> (</w:t>
      </w:r>
      <w:r w:rsidR="004C2430">
        <w:sym w:font="Symbol" w:char="F0B1"/>
      </w:r>
      <w:r w:rsidR="004C2430">
        <w:t>2 letters)</w:t>
      </w:r>
      <w:r w:rsidR="00E22377">
        <w:t>, and age of acquisition</w:t>
      </w:r>
      <w:r w:rsidR="004C2430">
        <w:t xml:space="preserve"> (</w:t>
      </w:r>
      <w:r w:rsidR="004C2430">
        <w:sym w:font="Symbol" w:char="F0B1"/>
      </w:r>
      <w:r w:rsidR="004C2430">
        <w:t xml:space="preserve">2 years). </w:t>
      </w:r>
      <w:r w:rsidR="00870EF6">
        <w:t>W</w:t>
      </w:r>
      <w:r w:rsidR="004C2430">
        <w:t xml:space="preserve">e </w:t>
      </w:r>
      <w:r w:rsidR="00870EF6">
        <w:t xml:space="preserve">further </w:t>
      </w:r>
      <w:r w:rsidR="004C2430">
        <w:t>sub-selected words that at least 90% of the raters reported to know</w:t>
      </w:r>
      <w:r w:rsidR="00870EF6">
        <w:t xml:space="preserve">, yielding a total of 2645 pairs of concrete-abstract words. We then filtered the words such that (i) only nouns are selected, and (ii) both words in a pair have a word length of 7 letters or shorter to avoid saccades during reading in the MEG. </w:t>
      </w:r>
      <w:r w:rsidR="00BF7847">
        <w:t xml:space="preserve">This yielded 1016 pairs of concrete-abstract words (see supplemental figure x for distributions of psycholinguistic variables). </w:t>
      </w:r>
      <w:r w:rsidR="00B973BC">
        <w:t>We then removed nouns that are mis-classified (e.g., adjectives) or nouns that are offensive.</w:t>
      </w:r>
      <w:r w:rsidR="00482F2F">
        <w:t xml:space="preserve"> This resulted in </w:t>
      </w:r>
      <w:r w:rsidR="00EC7177">
        <w:t>422</w:t>
      </w:r>
      <w:r w:rsidR="00482F2F">
        <w:t xml:space="preserve"> pairs of nouns.</w:t>
      </w:r>
    </w:p>
    <w:sectPr w:rsidR="003A0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AD"/>
    <w:rsid w:val="00066334"/>
    <w:rsid w:val="001C0D8B"/>
    <w:rsid w:val="00313198"/>
    <w:rsid w:val="003A0105"/>
    <w:rsid w:val="00482F2F"/>
    <w:rsid w:val="004C2430"/>
    <w:rsid w:val="00534A27"/>
    <w:rsid w:val="00534BDB"/>
    <w:rsid w:val="0055444B"/>
    <w:rsid w:val="006927DA"/>
    <w:rsid w:val="00692BCD"/>
    <w:rsid w:val="006B37B0"/>
    <w:rsid w:val="00870EF6"/>
    <w:rsid w:val="00920800"/>
    <w:rsid w:val="009525AB"/>
    <w:rsid w:val="00B736DE"/>
    <w:rsid w:val="00B973BC"/>
    <w:rsid w:val="00BF7847"/>
    <w:rsid w:val="00C63C24"/>
    <w:rsid w:val="00CE4FFE"/>
    <w:rsid w:val="00E22377"/>
    <w:rsid w:val="00EC7177"/>
    <w:rsid w:val="00F313AD"/>
    <w:rsid w:val="00F44E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9BBE8"/>
  <w15:chartTrackingRefBased/>
  <w15:docId w15:val="{0A68C0DD-34A3-CC46-903E-CE0C040DF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
    <w:name w:val="Links"/>
    <w:basedOn w:val="Normal"/>
    <w:next w:val="Normal"/>
    <w:link w:val="LinksChar"/>
    <w:qFormat/>
    <w:rsid w:val="009208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right"/>
    </w:pPr>
    <w:rPr>
      <w:rFonts w:ascii="Times New Roman" w:hAnsi="Times New Roman" w:cs="Times New Roman"/>
      <w:color w:val="4472C4" w:themeColor="accent1"/>
      <w:spacing w:val="-5"/>
      <w:kern w:val="32"/>
      <w:sz w:val="22"/>
    </w:rPr>
  </w:style>
  <w:style w:type="character" w:customStyle="1" w:styleId="LinksChar">
    <w:name w:val="Links Char"/>
    <w:basedOn w:val="DefaultParagraphFont"/>
    <w:link w:val="Links"/>
    <w:rsid w:val="00920800"/>
    <w:rPr>
      <w:rFonts w:ascii="Times New Roman" w:hAnsi="Times New Roman" w:cs="Times New Roman"/>
      <w:color w:val="4472C4" w:themeColor="accent1"/>
      <w:spacing w:val="-5"/>
      <w:kern w:val="3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Ryan</dc:creator>
  <cp:keywords/>
  <dc:description/>
  <cp:lastModifiedBy>Law, Ryan</cp:lastModifiedBy>
  <cp:revision>18</cp:revision>
  <dcterms:created xsi:type="dcterms:W3CDTF">2023-02-17T10:42:00Z</dcterms:created>
  <dcterms:modified xsi:type="dcterms:W3CDTF">2023-02-27T21:31:00Z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zotero-version="6.0.21"&gt;&lt;session id="8tirlE4c"/&gt;&lt;style id="http://www.zotero.org/styles/apa" locale="en-GB" hasBibliography="1" bibliographyStyleHasBeenSet="0"/&gt;&lt;prefs&gt;&lt;pref name="fieldType" value="Field"/&gt;&lt;/prefs&gt;&lt;/data&gt;</vt:lpwstr>
  </property>
</Properties>
</file>