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rchitecture-decisions-galing-gear"/>
    <w:p>
      <w:pPr>
        <w:pStyle w:val="Heading1"/>
      </w:pPr>
      <w:r>
        <w:t xml:space="preserve">Architecture Decisions — Galing Gear</w:t>
      </w:r>
    </w:p>
    <w:p>
      <w:pPr>
        <w:pStyle w:val="FirstParagraph"/>
      </w:pPr>
      <w:r>
        <w:t xml:space="preserve">Status tags:</w:t>
      </w:r>
      <w:r>
        <w:t xml:space="preserve"> </w:t>
      </w:r>
      <w:r>
        <w:rPr>
          <w:rStyle w:val="VerbatimChar"/>
        </w:rPr>
        <w:t xml:space="preserve">[SETTLED]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[SUPERSEDED]</w:t>
      </w:r>
    </w:p>
    <w:p>
      <w:r>
        <w:pict>
          <v:rect style="width:0;height:1.5pt" o:hralign="center" o:hrstd="t" o:hr="t"/>
        </w:pict>
      </w:r>
    </w:p>
    <w:bookmarkStart w:id="20" w:name="adr-001-astro-cloudflare-pages-settled"/>
    <w:p>
      <w:pPr>
        <w:pStyle w:val="Heading2"/>
      </w:pPr>
      <w:r>
        <w:t xml:space="preserve">ADR-001 — Astro + Cloudflare Pages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Build the site with Astro (static output, hybrid mode) deployed to Cloudflare Pages.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- Phase 1 is editorial-only: articles, a subscribe form, no accounts, no dynamic per-user content.</w:t>
      </w:r>
      <w:r>
        <w:t xml:space="preserve"> </w:t>
      </w:r>
      <w:r>
        <w:t xml:space="preserve">- Astro’s island architecture ships zero JS by default; the site is fast on mobile networks.</w:t>
      </w:r>
      <w:r>
        <w:t xml:space="preserve"> </w:t>
      </w:r>
      <w:r>
        <w:t xml:space="preserve">- Cloudflare Pages hosts both</w:t>
      </w:r>
      <w:r>
        <w:t xml:space="preserve"> </w:t>
      </w:r>
      <w:r>
        <w:rPr>
          <w:rStyle w:val="VerbatimChar"/>
        </w:rPr>
        <w:t xml:space="preserve">galinggear.com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galinggear.ph</w:t>
      </w:r>
      <w:r>
        <w:t xml:space="preserve"> </w:t>
      </w:r>
      <w:r>
        <w:t xml:space="preserve">with a single project.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@astrojs/cloudflare</w:t>
      </w:r>
      <w:r>
        <w:t xml:space="preserve"> </w:t>
      </w:r>
      <w:r>
        <w:t xml:space="preserve">adapter supports edge functions for the subscribe API without a separate backend.</w:t>
      </w:r>
    </w:p>
    <w:p>
      <w:pPr>
        <w:pStyle w:val="BodyText"/>
      </w:pPr>
      <w:r>
        <w:rPr>
          <w:bCs/>
          <w:b/>
        </w:rPr>
        <w:t xml:space="preserve">Trade-offs:</w:t>
      </w:r>
      <w:r>
        <w:t xml:space="preserve"> </w:t>
      </w:r>
      <w:r>
        <w:t xml:space="preserve">If phase 2 needs server-rendered, per-user content at scale, a Next.js rebuild or a separate API service may be simpler. That decision is deferred to phase 2.</w:t>
      </w:r>
    </w:p>
    <w:p>
      <w:r>
        <w:pict>
          <v:rect style="width:0;height:1.5pt" o:hralign="center" o:hrstd="t" o:hr="t"/>
        </w:pict>
      </w:r>
    </w:p>
    <w:bookmarkEnd w:id="20"/>
    <w:bookmarkStart w:id="21" w:name="X113004de9da0c11b58a256efa1eccecf69bc310"/>
    <w:p>
      <w:pPr>
        <w:pStyle w:val="Heading2"/>
      </w:pPr>
      <w:r>
        <w:t xml:space="preserve">ADR-002 — Supabase for subscriber storage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Use Supabase (PostgreSQL) via the anon client with RLS for the subscribers table.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- The anon key is safe on the client when RLS restricts anon to INSERT only.</w:t>
      </w:r>
      <w:r>
        <w:t xml:space="preserve"> </w:t>
      </w:r>
      <w:r>
        <w:t xml:space="preserve">- Supabase’s free tier handles the expected subscriber volume for phase 1.</w:t>
      </w:r>
      <w:r>
        <w:t xml:space="preserve"> </w:t>
      </w:r>
      <w:r>
        <w:t xml:space="preserve">- No service-role key is needed, which simplifies the Cloudflare Pages environment.</w:t>
      </w:r>
    </w:p>
    <w:p>
      <w:pPr>
        <w:pStyle w:val="BodyText"/>
      </w:pPr>
      <w:r>
        <w:rPr>
          <w:bCs/>
          <w:b/>
        </w:rPr>
        <w:t xml:space="preserve">Table:</w:t>
      </w:r>
    </w:p>
    <w:p>
      <w:pPr>
        <w:pStyle w:val="SourceCode"/>
      </w:pPr>
      <w:r>
        <w:rPr>
          <w:rStyle w:val="NormalTok"/>
        </w:rPr>
        <w:t xml:space="preserve">subscribers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uuid, name text,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created_at timestamptz)</w:t>
      </w:r>
    </w:p>
    <w:p>
      <w:pPr>
        <w:pStyle w:val="FirstParagraph"/>
      </w:pPr>
      <w:r>
        <w:rPr>
          <w:bCs/>
          <w:b/>
        </w:rPr>
        <w:t xml:space="preserve">Policy:</w:t>
      </w:r>
      <w:r>
        <w:t xml:space="preserve"> </w:t>
      </w:r>
      <w:r>
        <w:t xml:space="preserve">anon INSERT only. No anon SELECT, UPDATE, or DELETE.</w:t>
      </w:r>
    </w:p>
    <w:p>
      <w:r>
        <w:pict>
          <v:rect style="width:0;height:1.5pt" o:hralign="center" o:hrstd="t" o:hr="t"/>
        </w:pict>
      </w:r>
    </w:p>
    <w:bookmarkEnd w:id="21"/>
    <w:bookmarkStart w:id="22" w:name="X227266f1de0ad11334141637834fa054a546129"/>
    <w:p>
      <w:pPr>
        <w:pStyle w:val="Heading2"/>
      </w:pPr>
      <w:r>
        <w:t xml:space="preserve">ADR-003 — Scenario-first navigation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The primary navigation is 7 scenario slugs, not a traditional category tree.</w:t>
      </w:r>
    </w:p>
    <w:p>
      <w:pPr>
        <w:pStyle w:val="BodyText"/>
      </w:pPr>
      <w:r>
        <w:rPr>
          <w:bCs/>
          <w:b/>
        </w:rPr>
        <w:t xml:space="preserve">Scenarios:</w:t>
      </w:r>
      <w:r>
        <w:t xml:space="preserve"> </w:t>
      </w:r>
      <w:r>
        <w:t xml:space="preserve">typhoon-season · earthquake-ready · power-outage · go-bag · off-grid · first-aid · edc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Philippine readers come with a specific situation in mind (typhoon, brownout, earthquake). Organising by scenario rather than product category matches that mental model.</w:t>
      </w:r>
    </w:p>
    <w:p>
      <w:r>
        <w:pict>
          <v:rect style="width:0;height:1.5pt" o:hralign="center" o:hrstd="t" o:hr="t"/>
        </w:pict>
      </w:r>
    </w:p>
    <w:bookmarkEnd w:id="22"/>
    <w:bookmarkStart w:id="23" w:name="X200e2a447c0f3a8e344e702bf12144bbf5e0bbe"/>
    <w:p>
      <w:pPr>
        <w:pStyle w:val="Heading2"/>
      </w:pPr>
      <w:r>
        <w:t xml:space="preserve">ADR-004 — Phase 1 is editorial only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No shop, no user accounts, no affiliate links in phase 1.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Establishes trust before monetisation. Editorial independence (we buy our own gear) is a brand commitment, not just a preference. Phase 2 scope is TBD.</w:t>
      </w:r>
    </w:p>
    <w:p>
      <w:r>
        <w:pict>
          <v:rect style="width:0;height:1.5pt" o:hralign="center" o:hrstd="t" o:hr="t"/>
        </w:pict>
      </w:r>
    </w:p>
    <w:bookmarkEnd w:id="23"/>
    <w:bookmarkStart w:id="24" w:name="Xfa9e602539ddf532ebb22d114339035ef914f40"/>
    <w:p>
      <w:pPr>
        <w:pStyle w:val="Heading2"/>
      </w:pPr>
      <w:r>
        <w:t xml:space="preserve">ADR-005 — CSS custom properties, no utility frameworks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Plain CSS with a two-layer custom-property token system. No Tailwind, UnoCSS, or similar.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design system is small and stable. Utility frameworks add build complexity and make the token constraints harder to enforce (e.g. the</w:t>
      </w:r>
      <w:r>
        <w:t xml:space="preserve"> </w:t>
      </w:r>
      <w:r>
        <w:rPr>
          <w:rStyle w:val="VerbatimChar"/>
        </w:rPr>
        <w:t xml:space="preserve">orange-600</w:t>
      </w:r>
      <w:r>
        <w:t xml:space="preserve"> </w:t>
      </w:r>
      <w:r>
        <w:t xml:space="preserve">fill-only rule). Logical properties are enforced at the stylesheet level.</w:t>
      </w:r>
    </w:p>
    <w:p>
      <w:r>
        <w:pict>
          <v:rect style="width:0;height:1.5pt" o:hralign="center" o:hrstd="t" o:hr="t"/>
        </w:pict>
      </w:r>
    </w:p>
    <w:bookmarkEnd w:id="24"/>
    <w:bookmarkStart w:id="25" w:name="adr-006-output-static-not-hybrid-settled"/>
    <w:p>
      <w:pPr>
        <w:pStyle w:val="Heading2"/>
      </w:pPr>
      <w:r>
        <w:t xml:space="preserve">ADR-006 —</w:t>
      </w:r>
      <w:r>
        <w:t xml:space="preserve"> </w:t>
      </w:r>
      <w:r>
        <w:rPr>
          <w:rStyle w:val="VerbatimChar"/>
        </w:rPr>
        <w:t xml:space="preserve">output: 'static'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'hybrid'</w:t>
      </w:r>
      <w:r>
        <w:t xml:space="preserve">)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output: 'static'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output mode was removed in Astro 5;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export const prerender = false</w:t>
      </w:r>
      <w:r>
        <w:t xml:space="preserve"> </w:t>
      </w:r>
      <w:r>
        <w:t xml:space="preserve">on individual routes achieves the same result.</w:t>
      </w:r>
    </w:p>
    <w:p>
      <w:pPr>
        <w:pStyle w:val="BodyText"/>
      </w:pPr>
      <w:r>
        <w:rPr>
          <w:bCs/>
          <w:b/>
        </w:rPr>
        <w:t xml:space="preserve">Affected route:</w:t>
      </w:r>
      <w:r>
        <w:t xml:space="preserve"> </w:t>
      </w:r>
      <w:r>
        <w:rPr>
          <w:rStyle w:val="VerbatimChar"/>
        </w:rPr>
        <w:t xml:space="preserve">src/pages/api/subscribe.ts</w:t>
      </w:r>
      <w:r>
        <w:t xml:space="preserve"> </w:t>
      </w:r>
      <w:r>
        <w:t xml:space="preserve">opts out with</w:t>
      </w:r>
      <w:r>
        <w:t xml:space="preserve"> </w:t>
      </w:r>
      <w:r>
        <w:rPr>
          <w:rStyle w:val="VerbatimChar"/>
        </w:rPr>
        <w:t xml:space="preserve">export const prerender = 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6fb87255b04c62ecb08e05df976aa7f6993402"/>
    <w:p>
      <w:pPr>
        <w:pStyle w:val="Heading2"/>
      </w:pPr>
      <w:r>
        <w:t xml:space="preserve">ADR-007 — British spelling throughout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All user-visible text, documentation, and code comments use British English spelling.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Galing Gear is a Philippine publication. British English is the dominant standard in Philippine formal writing. Consistent spelling across all copy reduces cognitive load for editors.</w:t>
      </w:r>
    </w:p>
    <w:p>
      <w:r>
        <w:pict>
          <v:rect style="width:0;height:1.5pt" o:hralign="center" o:hrstd="t" o:hr="t"/>
        </w:pict>
      </w:r>
    </w:p>
    <w:bookmarkEnd w:id="26"/>
    <w:bookmarkStart w:id="27" w:name="X41e52a431d497c29a9094568c69977ae0935000"/>
    <w:p>
      <w:pPr>
        <w:pStyle w:val="Heading2"/>
      </w:pPr>
      <w:r>
        <w:t xml:space="preserve">ADR-008 — Supabase env vars committed in</w:t>
      </w:r>
      <w:r>
        <w:t xml:space="preserve"> </w:t>
      </w:r>
      <w:r>
        <w:rPr>
          <w:rStyle w:val="VerbatimChar"/>
        </w:rPr>
        <w:t xml:space="preserve">wrangler.jsonc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 </w:t>
      </w:r>
      <w:r>
        <w:t xml:space="preserve">live in the committed root</w:t>
      </w:r>
      <w:r>
        <w:t xml:space="preserve"> </w:t>
      </w:r>
      <w:r>
        <w:rPr>
          <w:rStyle w:val="VerbatimChar"/>
        </w:rPr>
        <w:t xml:space="preserve">wrangler.jsonc</w:t>
      </w:r>
      <w:r>
        <w:t xml:space="preserve"> </w:t>
      </w:r>
      <w:r>
        <w:rPr>
          <w:rStyle w:val="VerbatimChar"/>
        </w:rPr>
        <w:t xml:space="preserve">vars</w:t>
      </w:r>
      <w:r>
        <w:t xml:space="preserve"> </w:t>
      </w:r>
      <w:r>
        <w:t xml:space="preserve">block, not only in the Cloudflare dashboard.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Cloudflare’s</w:t>
      </w:r>
      <w:r>
        <w:t xml:space="preserve"> </w:t>
      </w:r>
      <w:r>
        <w:rPr>
          <w:rStyle w:val="VerbatimChar"/>
        </w:rPr>
        <w:t xml:space="preserve">wrangler deploy</w:t>
      </w:r>
      <w:r>
        <w:t xml:space="preserve"> </w:t>
      </w:r>
      <w:r>
        <w:t xml:space="preserve">treats its config as the source of truth and</w:t>
      </w:r>
      <w:r>
        <w:t xml:space="preserve"> </w:t>
      </w:r>
      <w:r>
        <w:rPr>
          <w:bCs/>
          <w:b/>
        </w:rPr>
        <w:t xml:space="preserve">removes</w:t>
      </w:r>
      <w:r>
        <w:t xml:space="preserve"> </w:t>
      </w:r>
      <w:r>
        <w:t xml:space="preserve">any variables not listed in it. When these values were set only in the dashboard, every git-triggered deployment wiped them and the subscribe API returned 500. The anon (publishable) key is RLS-protected — the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role can only INSERT into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supabase/migrations/0001_subscribers.sql</w:t>
      </w:r>
      <w:r>
        <w:t xml:space="preserve">) — so committing it is safe. The</w:t>
      </w:r>
      <w:r>
        <w:t xml:space="preserve"> </w:t>
      </w:r>
      <w:r>
        <w:rPr>
          <w:rStyle w:val="VerbatimChar"/>
        </w:rPr>
        <w:t xml:space="preserve">@astrojs/cloudflare</w:t>
      </w:r>
      <w:r>
        <w:t xml:space="preserve"> </w:t>
      </w:r>
      <w:r>
        <w:t xml:space="preserve">adapter merges the root config into the generated</w:t>
      </w:r>
      <w:r>
        <w:t xml:space="preserve"> </w:t>
      </w:r>
      <w:r>
        <w:rPr>
          <w:rStyle w:val="VerbatimChar"/>
        </w:rPr>
        <w:t xml:space="preserve">dist/server/wrangler.json</w:t>
      </w:r>
      <w:r>
        <w:t xml:space="preserve"> </w:t>
      </w:r>
      <w:r>
        <w:t xml:space="preserve">at build time.</w:t>
      </w:r>
      <w:r>
        <w:t xml:space="preserve"> </w:t>
      </w:r>
      <w:r>
        <w:rPr>
          <w:rStyle w:val="VerbatimChar"/>
        </w:rPr>
        <w:t xml:space="preserve">keep_vars: true</w:t>
      </w:r>
      <w:r>
        <w:t xml:space="preserve"> </w:t>
      </w:r>
      <w:r>
        <w:t xml:space="preserve">is also set as a safety net.</w:t>
      </w:r>
    </w:p>
    <w:p>
      <w:r>
        <w:pict>
          <v:rect style="width:0;height:1.5pt" o:hralign="center" o:hrstd="t" o:hr="t"/>
        </w:pict>
      </w:r>
    </w:p>
    <w:bookmarkEnd w:id="27"/>
    <w:bookmarkStart w:id="28" w:name="Xdd13543839061f9f9d60933c66ea930dd5e1551"/>
    <w:p>
      <w:pPr>
        <w:pStyle w:val="Heading2"/>
      </w:pPr>
      <w:r>
        <w:t xml:space="preserve">ADR-009 —</w:t>
      </w:r>
      <w:r>
        <w:t xml:space="preserve"> </w:t>
      </w:r>
      <w:r>
        <w:rPr>
          <w:rStyle w:val="VerbatimChar"/>
        </w:rPr>
        <w:t xml:space="preserve">createRequire(import.meta.url)</w:t>
      </w:r>
      <w:r>
        <w:t xml:space="preserve"> </w:t>
      </w:r>
      <w:r>
        <w:t xml:space="preserve">build-time shim</w:t>
      </w:r>
      <w:r>
        <w:t xml:space="preserve"> </w:t>
      </w:r>
      <w:r>
        <w:rPr>
          <w:rStyle w:val="VerbatimChar"/>
        </w:rPr>
        <w:t xml:space="preserve">[SETTLED]</w:t>
      </w:r>
    </w:p>
    <w:p>
      <w:pPr>
        <w:pStyle w:val="FirstParagraph"/>
      </w:pPr>
      <w:r>
        <w:rPr>
          <w:bCs/>
          <w:b/>
        </w:rPr>
        <w:t xml:space="preserve">Decision:</w:t>
      </w:r>
      <w:r>
        <w:t xml:space="preserve"> </w:t>
      </w:r>
      <w:r>
        <w:t xml:space="preserve">A small Vite</w:t>
      </w:r>
      <w:r>
        <w:t xml:space="preserve"> </w:t>
      </w:r>
      <w:r>
        <w:rPr>
          <w:rStyle w:val="VerbatimChar"/>
        </w:rPr>
        <w:t xml:space="preserve">renderChunk</w:t>
      </w:r>
      <w:r>
        <w:t xml:space="preserve"> </w:t>
      </w:r>
      <w:r>
        <w:t xml:space="preserve">plugin in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 </w:t>
      </w:r>
      <w:r>
        <w:t xml:space="preserve">rewrites</w:t>
      </w:r>
      <w:r>
        <w:t xml:space="preserve"> </w:t>
      </w:r>
      <w:r>
        <w:rPr>
          <w:rStyle w:val="VerbatimChar"/>
        </w:rPr>
        <w:t xml:space="preserve">createRequire(import.meta.url)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createRequire("file:///noop.js")</w:t>
      </w:r>
      <w:r>
        <w:t xml:space="preserve"> </w:t>
      </w:r>
      <w:r>
        <w:t xml:space="preserve">in the build output.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The content-layer</w:t>
      </w:r>
      <w:r>
        <w:t xml:space="preserve"> </w:t>
      </w:r>
      <w:r>
        <w:rPr>
          <w:rStyle w:val="VerbatimChar"/>
        </w:rPr>
        <w:t xml:space="preserve">glob()</w:t>
      </w:r>
      <w:r>
        <w:t xml:space="preserve"> </w:t>
      </w:r>
      <w:r>
        <w:t xml:space="preserve">loader (</w:t>
      </w:r>
      <w:r>
        <w:rPr>
          <w:rStyle w:val="VerbatimChar"/>
        </w:rPr>
        <w:t xml:space="preserve">src/content.config.ts</w:t>
      </w:r>
      <w:r>
        <w:t xml:space="preserve">) transitively bundles</w:t>
      </w:r>
      <w:r>
        <w:t xml:space="preserve"> </w:t>
      </w:r>
      <w:r>
        <w:rPr>
          <w:rStyle w:val="VerbatimChar"/>
        </w:rPr>
        <w:t xml:space="preserve">fdir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createRequire(import.meta.url)</w:t>
      </w:r>
      <w:r>
        <w:t xml:space="preserve"> </w:t>
      </w:r>
      <w:r>
        <w:t xml:space="preserve">at module top level. In the Cloudflare Workers runtime</w:t>
      </w:r>
      <w:r>
        <w:t xml:space="preserve"> </w:t>
      </w:r>
      <w:r>
        <w:rPr>
          <w:rStyle w:val="VerbatimChar"/>
        </w:rPr>
        <w:t xml:space="preserve">import.meta.url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so simply</w:t>
      </w:r>
      <w:r>
        <w:t xml:space="preserve"> </w:t>
      </w:r>
      <w:r>
        <w:rPr>
          <w:iCs/>
          <w:i/>
        </w:rPr>
        <w:t xml:space="preserve">loading</w:t>
      </w:r>
      <w:r>
        <w:t xml:space="preserve"> </w:t>
      </w:r>
      <w:r>
        <w:t xml:space="preserve">a server-rendered chunk (e.g. </w:t>
      </w:r>
      <w:r>
        <w:rPr>
          <w:rStyle w:val="VerbatimChar"/>
        </w:rPr>
        <w:t xml:space="preserve">/subscribe</w:t>
      </w:r>
      <w:r>
        <w:t xml:space="preserve">) threw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— every SSR page 500’d, while static pages (prerendered in Node) and the API route (which does not render page content) were unaffected. The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is never actually invoked at runtime, so giving it a harmless literal base URL lets the module evaluate. Verified with</w:t>
      </w:r>
      <w:r>
        <w:t xml:space="preserve"> </w:t>
      </w:r>
      <w:r>
        <w:rPr>
          <w:rStyle w:val="VerbatimChar"/>
        </w:rPr>
        <w:t xml:space="preserve">wrangler dev</w:t>
      </w:r>
      <w:r>
        <w:t xml:space="preserve">:</w:t>
      </w:r>
      <w:r>
        <w:t xml:space="preserve"> </w:t>
      </w:r>
      <w:r>
        <w:rPr>
          <w:rStyle w:val="VerbatimChar"/>
        </w:rPr>
        <w:t xml:space="preserve">/subscribe</w:t>
      </w:r>
      <w:r>
        <w:t xml:space="preserve"> </w:t>
      </w:r>
      <w:r>
        <w:t xml:space="preserve">returns 200 and renders the success/error banner.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2026-09-17T13:14:18Z</dcterms:created>
  <dcterms:modified xsi:type="dcterms:W3CDTF">2026-09-17T13:14:18Z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