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UNITED STATES DISTRICT COURT</w:t>
      </w:r>
    </w:p>
    <w:p>
      <w:pPr>
        <w:jc w:val="center"/>
      </w:pPr>
      <w:r>
        <w:t>FOR THE NORTHERN DISTRICT OF CALIFORNIA</w:t>
      </w:r>
    </w:p>
    <w:p/>
    <w:p>
      <w:r>
        <w:t>JOHN DOE, Plaintiff,</w:t>
      </w:r>
    </w:p>
    <w:p>
      <w:r>
        <w:t>v.</w:t>
      </w:r>
    </w:p>
    <w:p>
      <w:r>
        <w:t>TECHCORP INC., Defendant.</w:t>
      </w:r>
    </w:p>
    <w:p/>
    <w:p>
      <w:pPr>
        <w:jc w:val="center"/>
      </w:pPr>
      <w:r>
        <w:t>Case No. 3:25-cv-01234</w:t>
      </w:r>
    </w:p>
    <w:p/>
    <w:p>
      <w:pPr>
        <w:jc w:val="center"/>
      </w:pPr>
      <w:r>
        <w:t>MEMORANDUM OF LAW IN SUPPORT OF PLAINTIFF'S MOTION FOR SUMMARY JUDGMENT</w:t>
      </w:r>
    </w:p>
    <w:p/>
    <w:p>
      <w:pPr>
        <w:jc w:val="center"/>
      </w:pPr>
      <w:r>
        <w:t>I. INTRODUCTION</w:t>
      </w:r>
    </w:p>
    <w:p/>
    <w:p>
      <w:r>
        <w:t>Plaintiff John Doe brings this action under 42 U.S.C. § 1983 alleging that Defendant TechCorp Inc. violated his Fourth Amendment rights through warrantless surveillance of his digital communications. The Supreme Court has long recognized that the Fourth Amendment protects reasonable expectations of privacy. Katz v. United States, 389 U.S. 347 (1967).</w:t>
      </w:r>
    </w:p>
    <w:p/>
    <w:p>
      <w:pPr>
        <w:jc w:val="center"/>
      </w:pPr>
      <w:r>
        <w:t>II. STATEMENT OF FACTS</w:t>
      </w:r>
    </w:p>
    <w:p/>
    <w:p>
      <w:r>
        <w:t>From January 2024 through August 2024, Defendant conducted continuous monitoring of Plaintiff's electronic communications without obtaining a warrant or any form of judicial authorization. This surveillance included the collection of cell-site location information (CSLI), which the Supreme Court addressed in Carpenter v. United States, 585 U.S. 296 (2018).</w:t>
      </w:r>
    </w:p>
    <w:p/>
    <w:p>
      <w:r>
        <w:t>The breadth of Defendant's surveillance program is unprecedented. As the Court noted in Thompson v. Digital Analytics Corp., 847 F.3d 1203 (9th Cir. 2021), private entities acting under color of state law are subject to the same constitutional constraints as government actors. See also Rodriguez v. DataMine Systems, 612 F. Supp. 3d 894 (N.D. Cal. 2023).</w:t>
      </w:r>
    </w:p>
    <w:p/>
    <w:p>
      <w:pPr>
        <w:jc w:val="center"/>
      </w:pPr>
      <w:r>
        <w:t>III. ARGUMENT</w:t>
      </w:r>
    </w:p>
    <w:p/>
    <w:p>
      <w:pPr>
        <w:pStyle w:val="Heading2"/>
      </w:pPr>
      <w:r>
        <w:t>A. The Fourth Amendment Applies to Digital Surveillance by Private Actors</w:t>
      </w:r>
    </w:p>
    <w:p/>
    <w:p>
      <w:r>
        <w:t>The Fourth Amendment's protections extend to digital communications and metadata. Riley v. California, 573 U.S. 373 (2014). In Riley, the Court unanimously held that police must obtain a warrant before searching a cell phone seized during an arrest, recognizing the vast quantity of personal information contained in modern digital devices.</w:t>
      </w:r>
    </w:p>
    <w:p/>
    <w:p>
      <w:r>
        <w:t>This principle was extended to historical cell-site location information in Carpenter v. United States, 585 U.S. 296 (2018), where Chief Justice Roberts wrote that individuals maintain a legitimate expectation of privacy in the record of their physical movements as captured through CSLI. The Court rejected the argument that the third-party doctrine of Smith v. Maryland, 442 U.S. 735 (1979) eliminated Fourth Amendment protections for such data.</w:t>
      </w:r>
    </w:p>
    <w:p/>
    <w:p>
      <w:r>
        <w:t>Courts have consistently applied these principles to private actors operating under state authority. In Henderson v. Clearview Analytics, 923 F.3d 1108 (7th Cir. 2022), the Seventh Circuit held that a private technology company performing surveillance at the direction of law enforcement was a state actor subject to Fourth Amendment constraints. Similarly, in Martinez v. Palantir Technologies, 198 F. Supp. 3d 1142 (C.D. Cal. 2022), the court found that a private contractor's data collection activities constituted state action where the contractor was 'inextricably intertwined' with government operations.</w:t>
      </w:r>
    </w:p>
    <w:p/>
    <w:p>
      <w:pPr>
        <w:pStyle w:val="Heading2"/>
      </w:pPr>
      <w:r>
        <w:t>B. Defendant's Warrantless Surveillance Violates the Fourth Amendment</w:t>
      </w:r>
    </w:p>
    <w:p/>
    <w:p>
      <w:r>
        <w:t>Warrantless searches are per se unreasonable under the Fourth Amendment, subject only to a few specifically established and well-delineated exceptions. Arizona v. Gant, 556 U.S. 332 (2009); Mincey v. Arizona, 437 U.S. 385 (1978). None of these exceptions apply here.</w:t>
      </w:r>
    </w:p>
    <w:p/>
    <w:p>
      <w:r>
        <w:t>The government cannot circumvent the warrant requirement by enlisting private parties to conduct surveillance on its behalf. As the Supreme Court held in Skinner v. Railway Labor Executives' Ass'n, 489 U.S. 602 (1989), when a private entity acts as an instrument or agent of the government, its actions are subject to Fourth Amendment scrutiny.</w:t>
      </w:r>
    </w:p>
    <w:p/>
    <w:p>
      <w:r>
        <w:t>The Ninth Circuit has specifically addressed this issue in the digital context. In Collins v. SafeTrack Inc., 891 F.3d 445 (9th Cir. 2023), the court held that a private company's systematic collection of geolocation data at the request of federal agents constituted an unlawful search. The court emphasized that 'the government may not do through private intermediaries what the Constitution forbids it from doing directly.' Id. at 458.</w:t>
      </w:r>
    </w:p>
    <w:p/>
    <w:p>
      <w:r>
        <w:t>Furthermore, in Patterson v. United States, 756 F.3d 1087 (9th Cir. 2019), the court applied strict scrutiny to government-directed private surveillance programs, finding that the government's interest in law enforcement did not outweigh the plaintiff's reasonable expectation of privacy in digital communications metadata.</w:t>
      </w:r>
    </w:p>
    <w:p/>
    <w:p>
      <w:pPr>
        <w:pStyle w:val="Heading2"/>
      </w:pPr>
      <w:r>
        <w:t>C. Plaintiff Has Suffered Cognizable Injury</w:t>
      </w:r>
    </w:p>
    <w:p/>
    <w:p>
      <w:r>
        <w:t>The violation of Fourth Amendment rights constitutes a cognizable injury sufficient to establish standing. See Spokeo, Inc. v. Robins, 578 U.S. 330 (2016). The Supreme Court has recognized that the unlawful collection of personal information, without more, can constitute an injury in fact. TransUnion LLC v. Ramirez, 594 U.S. 413 (2021).</w:t>
      </w:r>
    </w:p>
    <w:p/>
    <w:p>
      <w:r>
        <w:t>Multiple circuits have found standing in digital surveillance cases. In Walker v. NSA Digital Programs, 834 F.3d 921 (D.C. Cir. 2020), the D.C. Circuit held that plaintiffs whose communications metadata was collected without a warrant had suffered a concrete and particularized injury. See also Chen v. Federal Bureau of Investigation, 743 F. Supp. 3d 201 (S.D.N.Y. 2022) (finding standing where plaintiff's digital footprint was systematically harvested by government contractors).</w:t>
      </w:r>
    </w:p>
    <w:p/>
    <w:p>
      <w:pPr>
        <w:jc w:val="center"/>
      </w:pPr>
      <w:r>
        <w:t>IV. CONCLUSION</w:t>
      </w:r>
    </w:p>
    <w:p/>
    <w:p>
      <w:r>
        <w:t>For the foregoing reasons, Plaintiff respectfully requests that this Court grant his Motion for Summary Judgment. The warrantless digital surveillance conducted by Defendant under the direction of government agents violated Plaintiff's Fourth Amendment rights as established by Carpenter, Riley, and their progeny. See also United States v. Jones, 565 U.S. 400 (2012) (recognizing Fourth Amendment implications of long-term GPS surveillance).</w:t>
      </w:r>
    </w:p>
    <w:p/>
    <w:p>
      <w:r>
        <w:t>Respectfully submitted,</w:t>
      </w:r>
    </w:p>
    <w:p/>
    <w:p>
      <w:r>
        <w:t>____________________________</w:t>
      </w:r>
    </w:p>
    <w:p>
      <w:r>
        <w:t>Attorney for Plaintiff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