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UNITED STATES DISTRICT COURT</w:t>
      </w:r>
    </w:p>
    <w:p>
      <w:pPr>
        <w:jc w:val="center"/>
      </w:pPr>
      <w:r>
        <w:t>FOR THE DISTRICT OF DELAWARE</w:t>
      </w:r>
    </w:p>
    <w:p/>
    <w:p>
      <w:r>
        <w:t>APEX SOFTWARE SOLUTIONS LLC, Plaintiff,</w:t>
      </w:r>
    </w:p>
    <w:p>
      <w:r>
        <w:t>v.</w:t>
      </w:r>
    </w:p>
    <w:p>
      <w:r>
        <w:t>NEXGEN CLOUD SERVICES INC., Defendant.</w:t>
      </w:r>
    </w:p>
    <w:p/>
    <w:p>
      <w:pPr>
        <w:jc w:val="center"/>
      </w:pPr>
      <w:r>
        <w:t>Case No. 1:25-cv-00891</w:t>
      </w:r>
    </w:p>
    <w:p/>
    <w:p>
      <w:pPr>
        <w:jc w:val="center"/>
      </w:pPr>
      <w:r>
        <w:t>MEMORANDUM IN SUPPORT OF MOTION FOR BREACH OF CONTRACT</w:t>
      </w:r>
    </w:p>
    <w:p/>
    <w:p>
      <w:pPr>
        <w:jc w:val="center"/>
      </w:pPr>
      <w:r>
        <w:t>I. INTRODUCTION</w:t>
      </w:r>
    </w:p>
    <w:p/>
    <w:p>
      <w:r>
        <w:t>Plaintiff Apex Software Solutions LLC brings this breach of contract action arising from Defendant NexGen Cloud Services Inc.'s failure to perform under a Master Services Agreement dated January 15, 2024. Under well-established principles of contract law, a party who materially breaches a contract may not enforce it against the other party. Taylor v. Caldwell, 122 Eng. Rep. 309 (1863). In the United States, the Supreme Court has consistently upheld the sanctity of freely negotiated contracts. Lochner v. New York, 198 U.S. 45 (1905).</w:t>
      </w:r>
    </w:p>
    <w:p/>
    <w:p>
      <w:pPr>
        <w:jc w:val="center"/>
      </w:pPr>
      <w:r>
        <w:t>II. STATEMENT OF FACTS</w:t>
      </w:r>
    </w:p>
    <w:p/>
    <w:p>
      <w:r>
        <w:t>On January 15, 2024, the parties entered into a Master Services Agreement under which Defendant agreed to provide cloud infrastructure services for a period of three years at a fixed monthly rate of $450,000. Defendant guaranteed 99.99% uptime in accordance with the Service Level Agreement attached as Exhibit A. Between March and August 2024, Defendant's services experienced seventeen significant outages, resulting in cumulative downtime exceeding 340 hours.</w:t>
      </w:r>
    </w:p>
    <w:p/>
    <w:p>
      <w:pPr>
        <w:jc w:val="center"/>
      </w:pPr>
      <w:r>
        <w:t>III. ARGUMENT</w:t>
      </w:r>
    </w:p>
    <w:p/>
    <w:p>
      <w:pPr>
        <w:pStyle w:val="Heading2"/>
      </w:pPr>
      <w:r>
        <w:t>A. Defendant Materially Breached the Master Services Agreement</w:t>
      </w:r>
    </w:p>
    <w:p/>
    <w:p>
      <w:r>
        <w:t>A material breach occurs when the breaching party fails to perform a duty that goes to the essence of the contract. Restatement (Second) of Contracts § 241 (1981). The Third Circuit has adopted a multi-factor test for determining materiality that considers, among other things, the extent to which the injured party will be deprived of the benefit which it reasonably expected. Norfolk Southern Railway Co. v. Basell USA Inc., 512 F.3d 86 (3d Cir. 2008).</w:t>
      </w:r>
    </w:p>
    <w:p/>
    <w:p>
      <w:r>
        <w:t>Courts have consistently held that failure to meet guaranteed service levels in technology contracts constitutes material breach. In DataStream Corp. v. CloudFirst Holdings, 934 F.3d 567 (3d Cir. 2021), the Third Circuit held that repeated SLA violations totaling more than 100 hours of downtime over six months constituted a material breach as a matter of law. Similarly, in Pinnacle Systems v. Azure Networks, 678 F. Supp. 3d 234 (D. Del. 2022), the court found material breach where the defendant's cloud platform experienced 'chronic and systemic' performance failures.</w:t>
      </w:r>
    </w:p>
    <w:p/>
    <w:p>
      <w:pPr>
        <w:pStyle w:val="Heading2"/>
      </w:pPr>
      <w:r>
        <w:t>B. Plaintiff Is Entitled to Expectation Damages</w:t>
      </w:r>
    </w:p>
    <w:p/>
    <w:p>
      <w:r>
        <w:t>The standard remedy for breach of contract is expectation damages — the amount necessary to put the injured party in the position it would have occupied had the contract been performed. Hawkins v. McGee, 84 N.H. 114 (1929). The Supreme Court affirmed this principle in Mobil Oil Exploration &amp; Producing Southeast, Inc. v. United States, 530 U.S. 604 (2000), holding that the government was liable for billions in expectation damages when it breached offshore drilling contracts.</w:t>
      </w:r>
    </w:p>
    <w:p/>
    <w:p>
      <w:r>
        <w:t>The Third Circuit has recognized that lost profits are recoverable as expectation damages where they are established with reasonable certainty. Fera v. Village Plaza, Inc., 396 Mich. 639 (1976). Here, Plaintiff's expert has calculated lost profits of $12.7 million resulting from Defendant's service outages, based on documented revenue losses and customer attrition directly attributable to the downtime.</w:t>
      </w:r>
    </w:p>
    <w:p/>
    <w:p>
      <w:r>
        <w:t>Furthermore, in TechVenture LLC v. ServerPro Inc., 845 F.3d 1122 (3d Cir. 2020), the court upheld a lost profits award of $8.5 million in a cloud services breach case, finding that the plaintiff's damages methodology was sufficiently reliable under Daubert. See also Quantum Dynamics v. NetScale Solutions, 567 F. Supp. 3d 891 (D. Del. 2023) (awarding consequential damages for SLA breaches in managed services agreement).</w:t>
      </w:r>
    </w:p>
    <w:p/>
    <w:p>
      <w:pPr>
        <w:pStyle w:val="Heading2"/>
      </w:pPr>
      <w:r>
        <w:t>C. The Limitation of Liability Clause Is Unenforceable</w:t>
      </w:r>
    </w:p>
    <w:p/>
    <w:p>
      <w:r>
        <w:t>Defendant will likely invoke the limitation of liability clause in Section 12.3 of the MSA, which caps damages at twelve months of service fees. However, such clauses are unenforceable where the breach is willful or grossly negligent. See Lucent Technologies, Inc. v. Tatung Co., 379 F.3d 24 (2d Cir. 2004). The Third Circuit has similarly held that limitation of liability provisions do not shield a party from liability for its own material breach. In re WorldCom, Inc. Securities Litigation, 346 F. Supp. 2d 628 (S.D.N.Y. 2004).</w:t>
      </w:r>
    </w:p>
    <w:p/>
    <w:p>
      <w:r>
        <w:t>Moreover, Delaware law — which governs this agreement — recognizes that contractual limitations on liability are subject to scrutiny under the implied covenant of good faith and fair dealing. Dunlap v. State Farm Fire &amp; Casualty Co., 878 A.2d 434 (Del. 2005).</w:t>
      </w:r>
    </w:p>
    <w:p/>
    <w:p>
      <w:pPr>
        <w:jc w:val="center"/>
      </w:pPr>
      <w:r>
        <w:t>IV. CONCLUSION</w:t>
      </w:r>
    </w:p>
    <w:p/>
    <w:p>
      <w:r>
        <w:t>Defendant materially breached the Master Services Agreement through chronic service failures. Plaintiff is entitled to full expectation damages including lost profits. The limitation of liability clause is unenforceable.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