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IN THE UNITED STATES DISTRICT COURT</w:t>
      </w:r>
    </w:p>
    <w:p>
      <w:pPr>
        <w:jc w:val="center"/>
      </w:pPr>
      <w:r>
        <w:t>FOR THE SOUTHERN DISTRICT OF NEW YORK</w:t>
      </w:r>
    </w:p>
    <w:p/>
    <w:p>
      <w:r>
        <w:t>MARIA SANTOS, Plaintiff,</w:t>
      </w:r>
    </w:p>
    <w:p>
      <w:r>
        <w:t>v.</w:t>
      </w:r>
    </w:p>
    <w:p>
      <w:r>
        <w:t>GLOBALCHEM INDUSTRIES INC., Defendant.</w:t>
      </w:r>
    </w:p>
    <w:p/>
    <w:p>
      <w:pPr>
        <w:jc w:val="center"/>
      </w:pPr>
      <w:r>
        <w:t>Case No. 1:25-cv-04567</w:t>
      </w:r>
    </w:p>
    <w:p/>
    <w:p>
      <w:pPr>
        <w:jc w:val="center"/>
      </w:pPr>
      <w:r>
        <w:t>MEMORANDUM IN SUPPORT OF PLAINTIFF'S TITLE VII CLAIM</w:t>
      </w:r>
    </w:p>
    <w:p/>
    <w:p>
      <w:pPr>
        <w:jc w:val="center"/>
      </w:pPr>
      <w:r>
        <w:t>I. INTRODUCTION</w:t>
      </w:r>
    </w:p>
    <w:p/>
    <w:p>
      <w:r>
        <w:t>Plaintiff Maria Santos brings this action under Title VII of the Civil Rights Act of 1964, alleging that Defendant GlobalChem Industries Inc. subjected her to a hostile work environment based on her national origin and gender. The Supreme Court has long held that Title VII forbids not only economic or tangible discrimination, but also the creation of a hostile or abusive work environment. Meritor Savings Bank, FSB v. Vinson, 477 U.S. 57 (1986).</w:t>
      </w:r>
    </w:p>
    <w:p/>
    <w:p>
      <w:pPr>
        <w:jc w:val="center"/>
      </w:pPr>
      <w:r>
        <w:t>II. LEGAL STANDARD</w:t>
      </w:r>
    </w:p>
    <w:p/>
    <w:p>
      <w:r>
        <w:t>To establish a hostile work environment claim, a plaintiff must show that the workplace was permeated with discriminatory intimidation, ridicule, and insult that was sufficiently severe or pervasive to alter the conditions of the victim's employment. Harris v. Forklift Systems, Inc., 510 U.S. 17 (1993). The Court must consider the totality of the circumstances, including the frequency of the discriminatory conduct, its severity, and whether it unreasonably interferes with an employee's work performance.</w:t>
      </w:r>
    </w:p>
    <w:p/>
    <w:p>
      <w:r>
        <w:t>Under the burden-shifting framework of McDonnell Douglas Corp. v. Green, 411 U.S. 792 (1973), once a plaintiff establishes a prima facie case, the burden shifts to the employer to articulate a legitimate, nondiscriminatory reason for its actions. If the employer meets this burden, the plaintiff must then demonstrate that the proffered reason was a pretext for discrimination.</w:t>
      </w:r>
    </w:p>
    <w:p/>
    <w:p>
      <w:pPr>
        <w:jc w:val="center"/>
      </w:pPr>
      <w:r>
        <w:t>III. ARGUMENT</w:t>
      </w:r>
    </w:p>
    <w:p/>
    <w:p>
      <w:pPr>
        <w:pStyle w:val="Heading2"/>
      </w:pPr>
      <w:r>
        <w:t>A. Plaintiff Establishes a Prima Facie Case of National Origin Discrimination</w:t>
      </w:r>
    </w:p>
    <w:p/>
    <w:p>
      <w:r>
        <w:t>The Second Circuit has recognized that a pattern of derogatory comments about an employee's ethnicity, combined with adverse employment actions, can establish a hostile work environment claim. Littlejohn v. City of New York, 795 F.3d 297 (2d Cir. 2015). Here, Plaintiff was repeatedly subjected to derogatory remarks about her Latino heritage, including being told to 'go back where she came from' and being excluded from team meetings conducted exclusively in English despite the availability of bilingual alternatives.</w:t>
      </w:r>
    </w:p>
    <w:p/>
    <w:p>
      <w:r>
        <w:t>Courts have consistently held that such exclusionary conduct constitutes national origin discrimination. In Rivera v. Continental Airlines, 867 F.3d 1034 (2d Cir. 2019), the Second Circuit found that systematic exclusion of Latino employees from professional development opportunities constituted actionable discrimination under Title VII. See also Chen v. Metropolitan Transit Authority, 538 F. Supp. 3d 445 (S.D.N.Y. 2022) (holding that language-based exclusion creates hostile work environment).</w:t>
      </w:r>
    </w:p>
    <w:p/>
    <w:p>
      <w:pPr>
        <w:pStyle w:val="Heading2"/>
      </w:pPr>
      <w:r>
        <w:t>B. Defendant's Conduct Was Severe and Pervasive</w:t>
      </w:r>
    </w:p>
    <w:p/>
    <w:p>
      <w:r>
        <w:t>The Supreme Court has instructed that courts should examine the totality of the circumstances in evaluating hostile work environment claims. Oncale v. Sundowner Offshore Services, Inc., 523 U.S. 75 (1998). The conduct here spanned eighteen months and included both verbal harassment and tangible employment actions, including denial of promotions and assignment to less desirable shifts.</w:t>
      </w:r>
    </w:p>
    <w:p/>
    <w:p>
      <w:r>
        <w:t>In Burlington Northern &amp; Santa Fe Railway Co. v. White, 548 U.S. 53 (2006), the Supreme Court held that the anti-retaliation provision of Title VII covers employer actions that would dissuade a reasonable worker from making a charge of discrimination. Here, Defendant's pattern of retaliatory conduct following Plaintiff's internal complaints clearly meets this standard.</w:t>
      </w:r>
    </w:p>
    <w:p/>
    <w:p>
      <w:r>
        <w:t>The Second Circuit has further recognized that intersectional discrimination — where an employee faces bias based on multiple protected characteristics — warrants heightened scrutiny. In Prescott v. Oakridge Technologies, 912 F.3d 678 (2d Cir. 2021), the court held that Latina women face 'unique and compounded' forms of workplace discrimination that must be evaluated holistically. See also Vasquez v. DataPlex Corp., 743 F. Supp. 3d 892 (S.D.N.Y. 2023) (applying intersectional analysis to Title VII claims).</w:t>
      </w:r>
    </w:p>
    <w:p/>
    <w:p>
      <w:pPr>
        <w:pStyle w:val="Heading2"/>
      </w:pPr>
      <w:r>
        <w:t>C. Defendant Cannot Establish the Faragher-Ellerth Affirmative Defense</w:t>
      </w:r>
    </w:p>
    <w:p/>
    <w:p>
      <w:r>
        <w:t>Under Faragher v. City of Boca Raton, 524 U.S. 775 (1998), and Burlington Industries, Inc. v. Ellerth, 524 U.S. 742 (1998), an employer may raise an affirmative defense when no tangible employment action has been taken. However, this defense is unavailable here because Plaintiff suffered tangible employment actions including demotion and reduction in pay.</w:t>
      </w:r>
    </w:p>
    <w:p/>
    <w:p>
      <w:r>
        <w:t>Even if the defense were available, Defendant cannot satisfy either prong. The employer failed to exercise reasonable care to prevent and correct harassment, as evidenced by the absence of any meaningful investigation into Plaintiff's complaints. See Vance v. Ball State University, 570 U.S. 421 (2013) (clarifying the definition of 'supervisor' for purposes of employer liability under Title VII).</w:t>
      </w:r>
    </w:p>
    <w:p/>
    <w:p>
      <w:pPr>
        <w:jc w:val="center"/>
      </w:pPr>
      <w:r>
        <w:t>IV. CONCLUSION</w:t>
      </w:r>
    </w:p>
    <w:p/>
    <w:p>
      <w:r>
        <w:t>For the foregoing reasons, Plaintiff has established a prima facie case of hostile work environment discrimination based on national origin and gender under Title VII. Defendant's proffered reasons for its actions are pretextual. See Texas Dept. of Community Affairs v. Burdine, 450 U.S. 248 (1981).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