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 THE UNITED STATES DISTRICT COURT</w:t>
      </w:r>
    </w:p>
    <w:p>
      <w:pPr>
        <w:jc w:val="center"/>
      </w:pPr>
      <w:r>
        <w:t>FOR THE EASTERN DISTRICT OF PENNSYLVANIA</w:t>
      </w:r>
    </w:p>
    <w:p/>
    <w:p>
      <w:r>
        <w:t>OMEGA HEALTHCARE INC., Plaintiff,</w:t>
      </w:r>
    </w:p>
    <w:p>
      <w:r>
        <w:t>v.</w:t>
      </w:r>
    </w:p>
    <w:p>
      <w:r>
        <w:t>KEYSTONE PHARMA GROUP LLC, Defendant.</w:t>
      </w:r>
    </w:p>
    <w:p/>
    <w:p>
      <w:pPr>
        <w:jc w:val="center"/>
      </w:pPr>
      <w:r>
        <w:t>Case No. 2:25-cv-01789</w:t>
      </w:r>
    </w:p>
    <w:p/>
    <w:p>
      <w:pPr>
        <w:jc w:val="center"/>
      </w:pPr>
      <w:r>
        <w:t>MEMORANDUM IN SUPPORT OF MOTION TO DISMISS</w:t>
      </w:r>
    </w:p>
    <w:p/>
    <w:p>
      <w:pPr>
        <w:jc w:val="center"/>
      </w:pPr>
      <w:r>
        <w:t>I. INTRODUCTION</w:t>
      </w:r>
    </w:p>
    <w:p/>
    <w:p>
      <w:r>
        <w:t>Defendant Keystone Pharma Group LLC moves to dismiss Plaintiff's Complaint for failure to state a claim upon which relief can be granted under Federal Rule of Civil Procedure 12(b)(6). To survive a motion to dismiss, a complaint must contain sufficient factual matter, accepted as true, to state a claim to relief that is plausible on its face. Ashcroft v. Iqbal, 556 U.S. 662 (2009).</w:t>
      </w:r>
    </w:p>
    <w:p/>
    <w:p>
      <w:pPr>
        <w:jc w:val="center"/>
      </w:pPr>
      <w:r>
        <w:t>II. LEGAL STANDARD</w:t>
      </w:r>
    </w:p>
    <w:p/>
    <w:p>
      <w:r>
        <w:t>The plausibility standard established in Bell Atlantic Corp. v. Twombly, 550 U.S. 544 (2007), requires more than a sheer possibility that a defendant has acted unlawfully. The Court must accept all well-pleaded factual allegations as true and draw all reasonable inferences in favor of the plaintiff. However, legal conclusions and threadbare recitals of elements are not entitled to the presumption of truth.</w:t>
      </w:r>
    </w:p>
    <w:p/>
    <w:p>
      <w:pPr>
        <w:jc w:val="center"/>
      </w:pPr>
      <w:r>
        <w:t>III. ARGUMENT</w:t>
      </w:r>
    </w:p>
    <w:p/>
    <w:p>
      <w:pPr>
        <w:pStyle w:val="Heading2"/>
      </w:pPr>
      <w:r>
        <w:t>A. Plaintiff Fails to State a Fraud Claim</w:t>
      </w:r>
    </w:p>
    <w:p/>
    <w:p>
      <w:r>
        <w:t>To state a claim for securities fraud, a plaintiff must plead loss causation with specificity. Dura Pharmaceuticals, Inc. v. Broudo, 552 U.S. 148 (2007). The complaint here alleges only that Plaintiff suffered losses after purchasing Defendant's securities, without establishing the requisite causal connection between the alleged misrepresentation and the economic loss.</w:t>
      </w:r>
    </w:p>
    <w:p/>
    <w:p>
      <w:r>
        <w:t>Furthermore, the Private Securities Litigation Reform Act requires that the complaint state with particularity facts giving rise to a strong inference of scienter. Tellabs, Inc. v. Makor Issues &amp; Rights, Ltd., 549 U.S. 457 (2006). Plaintiff's allegations of fraudulent intent are conclusory and fail to meet this heightened pleading standard.</w:t>
      </w:r>
    </w:p>
    <w:p/>
    <w:p>
      <w:r>
        <w:t>The Third Circuit has emphasized that 'vague and conclusory allegations of fraud' do not satisfy Rule 9(b)'s heightened pleading requirements. In re Burlington Coat Factory Securities Litigation, 114 F.3d 1410 (3d Cir. 1997).</w:t>
      </w:r>
    </w:p>
    <w:p/>
    <w:p>
      <w:pPr>
        <w:pStyle w:val="Heading2"/>
      </w:pPr>
      <w:r>
        <w:t>B. Plaintiff's Negligent Misrepresentation Claim Is Deficient</w:t>
      </w:r>
    </w:p>
    <w:p/>
    <w:p>
      <w:r>
        <w:t>A claim for negligent misrepresentation requires the plaintiff to demonstrate a duty to provide accurate information, breach of that duty, and resulting damages. Gutter v. Bollman, 763 F.3d 209 (3d Cir. 2018). Plaintiff has failed to allege any special relationship giving rise to a duty of care.</w:t>
      </w:r>
    </w:p>
    <w:p/>
    <w:p>
      <w:r>
        <w:t>The economic loss doctrine bars negligent misrepresentation claims where the alleged loss is purely economic. East River Steamship Corp. v. Transamerica Delaval Inc., 476 U.S. 858 (1986).</w:t>
      </w:r>
    </w:p>
    <w:p/>
    <w:p>
      <w:pPr>
        <w:pStyle w:val="Heading2"/>
      </w:pPr>
      <w:r>
        <w:t>C. Plaintiff's Breach of Fiduciary Duty Claim Fails</w:t>
      </w:r>
    </w:p>
    <w:p/>
    <w:p>
      <w:r>
        <w:t>While fiduciary duties are well-established in corporate law, Meinhard v. Salmon, 249 F.2d 458 (2d Cir. 1928), they arise only in specific relationships. The arm's-length commercial transaction at issue here does not give rise to fiduciary obligations.</w:t>
      </w:r>
    </w:p>
    <w:p/>
    <w:p>
      <w:r>
        <w:t>Delaware courts have long recognized the duty of loyalty in corporate governance. Brophy v. Cities Service Co., 456 F.3d 823 (3d Cir. 2006). However, that duty runs from corporate officers and directors to shareholders — not between arm's-length contracting parties.</w:t>
      </w:r>
    </w:p>
    <w:p/>
    <w:p>
      <w:r>
        <w:t>The Supreme Court has confirmed that the duty of loyalty is a cornerstone of corporate governance. Burwell v. Hobby Lobby Stores, Inc., 573 U.S. 682 (2014).</w:t>
      </w:r>
    </w:p>
    <w:p/>
    <w:p>
      <w:pPr>
        <w:pStyle w:val="Heading2"/>
      </w:pPr>
      <w:r>
        <w:t>D. Plaintiff's Unjust Enrichment Claim Is Preempted</w:t>
      </w:r>
    </w:p>
    <w:p/>
    <w:p>
      <w:r>
        <w:t>Where an express contract governs the parties' relationship, an unjust enrichment claim cannot stand. Kottler v. Deutsche Bank AG, 607 F.3d 356 (2d Cir. 2012). The MSA between the parties expressly covers the subject matter of Plaintiff's unjust enrichment claim.</w:t>
      </w:r>
    </w:p>
    <w:p/>
    <w:p>
      <w:r>
        <w:t>As the Supreme Court explained in Great-West Life &amp; Annuity Insurance Co. v. Knudson, 534 U.S. 204 (2002), equitable relief is available only where legal remedies are inadequate.</w:t>
      </w:r>
    </w:p>
    <w:p/>
    <w:p>
      <w:pPr>
        <w:jc w:val="center"/>
      </w:pPr>
      <w:r>
        <w:t>IV. CONCLUSION</w:t>
      </w:r>
    </w:p>
    <w:p/>
    <w:p>
      <w:r>
        <w:t>Plaintiff's Complaint fails to state any viable claim for relief and should be dismissed with prejudice under Rule 12(b)(6).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