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MEMORANDUM WITH FABRICATED CITATIONS</w:t>
      </w:r>
    </w:p>
    <w:p/>
    <w:p>
      <w:r>
        <w:t>The court recognized this principle in Johnson v. Metropolitan Transit Authority, 892 F.3d 1147 (9th Cir. 2023). This decision built on the foundation established in Williams v. National Education Board, 567 U.S. 234 (2018).</w:t>
      </w:r>
    </w:p>
    <w:p>
      <w:r>
        <w:t>The Seventh Circuit further clarified in Rodriguez v. DataCorp International, 445 F.3d 891 (7th Cir. 2020), that algorithmic bias constitutes a form of disparate impact under Title VII.</w:t>
      </w:r>
    </w:p>
    <w:p>
      <w:r>
        <w:t>See also Thompson v. AI Systems Inc., 789 F. Supp. 3d 456 (S.D.N.Y. 2024), finding that automated decision-making tools are subject to due process scrutiny.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