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BRIEF WITH MIXED CITATIONS</w:t>
      </w:r>
    </w:p>
    <w:p/>
    <w:p>
      <w:r>
        <w:t>The First Amendment protects freedom of speech. New York Times Co. v. Sullivan, 376 U.S. 254 (1964). This protection extends to online communications.</w:t>
      </w:r>
    </w:p>
    <w:p>
      <w:r>
        <w:t>The court also considered Anderson v. Digital Media Corp., 834 F.3d 1289 (11th Cir. 2022), which held that social media platforms have editorial discretion under the First Amendment.</w:t>
      </w:r>
    </w:p>
    <w:p>
      <w:r>
        <w:t>Miranda v. Arizona, 384 U.S. 436 (1966), established that suspects must be informed of their rights before custodial interrogation.</w:t>
      </w:r>
    </w:p>
    <w:p>
      <w:r>
        <w:t>See also Chen v. National AI Review Board, 512 F. Supp. 3d 789 (D.D.C. 2025), addressing the novel question of AI-generated evidence admissibility.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