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MEMORANDUM OF LAW IN SUPPORT OF MOTION</w:t>
      </w:r>
    </w:p>
    <w:p/>
    <w:p>
      <w:r>
        <w:t>The Supreme Court has long held that segregation in public schools violates the Equal Protection Clause. Brown v. Board of Education, 347 U.S. 483 (1954). This principle was subsequently extended to other public facilities.</w:t>
      </w:r>
    </w:p>
    <w:p>
      <w:r>
        <w:t>The right to counsel is fundamental in criminal proceedings. Gideon v. Wainwright, 372 U.S. 335 (1963). Without effective assistance of counsel, the fairness of the adversarial process cannot be assured. Strickland v. Washington, 466 U.S. 668 (1984).</w:t>
      </w:r>
    </w:p>
    <w:p>
      <w:r>
        <w:t>The exclusionary rule serves to deter unlawful police conduct. Mapp v. Ohio, 367 U.S. 643 (1961). Evidence obtained in violation of the Fourth Amendment must be suppressed. Weeks v. United States, 232 U.S. 383 (1914).</w:t>
      </w:r>
    </w:p>
    <w:p>
      <w:r>
        <w:t>Pursuant to 42 U.S.C. § 1983, the plaintiff seeks relief for deprivation of constitutional rights under color of state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