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UNITED STATES DISTRICT COURT</w:t>
      </w:r>
    </w:p>
    <w:p>
      <w:r>
        <w:t>FOR THE EASTERN DISTRICT OF PENNSYLVANIA</w:t>
      </w:r>
    </w:p>
    <w:p/>
    <w:p>
      <w:r>
        <w:t>APEX SOFTWARE SOLUTIONS LLC, Plaintiff,</w:t>
      </w:r>
    </w:p>
    <w:p>
      <w:r>
        <w:t>v.</w:t>
      </w:r>
    </w:p>
    <w:p>
      <w:r>
        <w:t>KEYSTONE PHARMA GROUP LLC, Defendant.</w:t>
      </w:r>
    </w:p>
    <w:p/>
    <w:p>
      <w:r>
        <w:t>Case No. 2:25-cv-01789</w:t>
      </w:r>
    </w:p>
    <w:p/>
    <w:p>
      <w:r>
        <w:t>COMPLAINT</w:t>
      </w:r>
    </w:p>
    <w:p/>
    <w:p>
      <w:r>
        <w:t>1. Plaintiff Apex Software Solutions LLC brings this action against Defendant Keystone Pharma Group LLC for breach of contract, fraud, and unjust enrichment.</w:t>
      </w:r>
    </w:p>
    <w:p>
      <w:r>
        <w:t>2. Plaintiff is a Delaware limited liability company with its principal place of business in Philadelphia, Pennsylvania.</w:t>
      </w:r>
    </w:p>
    <w:p>
      <w:r>
        <w:t>3. Defendant is a Delaware limited liability company with its principal place of business in Wilmington, Delaware.</w:t>
      </w:r>
    </w:p>
    <w:p>
      <w:r>
        <w:t>4. This Court has jurisdiction pursuant to 28 U.S.C. § 1332 because the parties are citizens of different states and the amount in controversy exceeds $75,000.</w:t>
      </w:r>
    </w:p>
    <w:p>
      <w:r>
        <w:t>5. Venue is proper in this district under 28 U.S.C. § 1391(b) because a substantial part of the events giving rise to the claim occurred in this district.</w:t>
      </w:r>
    </w:p>
    <w:p>
      <w:r>
        <w:t>6. On January 15, 2024, Plaintiff and Defendant entered into a Master Services Agreement whereby Defendant agreed to provide cloud infrastructure services for a period of three years.</w:t>
      </w:r>
    </w:p>
    <w:p>
      <w:r>
        <w:t>7. Under the MSA, Defendant guaranteed 99.99% uptime for all hosted services, as specified in the Service Level Agreement attached as Exhibit A.</w:t>
      </w:r>
    </w:p>
    <w:p>
      <w:r>
        <w:t>8. The monthly service fee under the MSA was $450,000, payable on the first business day of each month.</w:t>
      </w:r>
    </w:p>
    <w:p>
      <w:r>
        <w:t>9. Plaintiff timely paid all monthly service fees from January 2024 through August 2024, totaling $3,600,000.</w:t>
      </w:r>
    </w:p>
    <w:p>
      <w:r>
        <w:t>10. Beginning in March 2024, Defendant's services experienced significant and recurring outages that materially impacted Plaintiff's business operations.</w:t>
      </w:r>
    </w:p>
    <w:p>
      <w:r>
        <w:t>11. On March 12, 2024, Defendant's platform experienced a complete outage lasting 47 hours, during which Plaintiff's customers were unable to access critical healthcare applications.</w:t>
      </w:r>
    </w:p>
    <w:p>
      <w:r>
        <w:t>12. On April 3, 2024, a second major outage occurred lasting 28 hours, resulting in the loss of approximately 12,000 patient records.</w:t>
      </w:r>
    </w:p>
    <w:p>
      <w:r>
        <w:t>13. Between May and August 2024, an additional fifteen outages occurred, each lasting between 4 and 36 hours.</w:t>
      </w:r>
    </w:p>
    <w:p>
      <w:r>
        <w:t>14. The cumulative downtime from March through August 2024 exceeded 340 hours, far exceeding the 0.01% downtime permitted under the SLA.</w:t>
      </w:r>
    </w:p>
    <w:p>
      <w:r>
        <w:t>15. Plaintiff repeatedly notified Defendant of the service failures and demanded remediation, including through written correspondence on March 15, April 5, May 20, and July 1, 2024.</w:t>
      </w:r>
    </w:p>
    <w:p>
      <w:r>
        <w:t>16. Defendant acknowledged the outages but failed to implement adequate remedial measures.</w:t>
      </w:r>
    </w:p>
    <w:p>
      <w:r>
        <w:t>17. On June 15, 2024, Defendant's Chief Technology Officer, Robert Smith, stated in an email to Plaintiff that the outages were caused by Defendant's decision to migrate to cheaper server infrastructure without adequate testing.</w:t>
      </w:r>
    </w:p>
    <w:p>
      <w:r>
        <w:t>18. Defendant concealed the infrastructure migration from Plaintiff and did not disclose it until after the June 15 email.</w:t>
      </w:r>
    </w:p>
    <w:p>
      <w:r>
        <w:t>19. The infrastructure migration violated Section 4.2 of the MSA, which required Defendant to obtain Plaintiff's prior written consent before making material changes to the hosting environment.</w:t>
      </w:r>
    </w:p>
    <w:p>
      <w:r>
        <w:t>20. As a result of Defendant's service failures, Plaintiff lost seventeen major enterprise clients, representing approximately $12.7 million in annual recurring revenue.</w:t>
      </w:r>
    </w:p>
    <w:p>
      <w:r>
        <w:t>21. Plaintiff also incurred $2.3 million in emergency remediation costs, including the engagement of alternative cloud providers and data recovery services.</w:t>
      </w:r>
    </w:p>
    <w:p>
      <w:r>
        <w:t>22. Defendant's conduct constitutes a material breach of the Master Services Agreement.</w:t>
      </w:r>
    </w:p>
    <w:p>
      <w:r>
        <w:t>23. Defendant's concealment of the infrastructure migration and its false assurances of service reliability constitute fraud.</w:t>
      </w:r>
    </w:p>
    <w:p>
      <w:r>
        <w:t>24. Defendant has been unjustly enriched by retaining $3,600,000 in service fees while failing to provide the contracted services.</w:t>
      </w:r>
    </w:p>
    <w:p>
      <w:r>
        <w:t>25. Plaintiff has suffered damages in excess of $18,600,000.</w:t>
      </w:r>
    </w:p>
    <w:p>
      <w:r>
        <w:t>26. Plaintiff has performed all conditions precedent to bringing this action.</w:t>
      </w:r>
    </w:p>
    <w:p>
      <w:r>
        <w:t>27. All conditions precedent to Plaintiff's claims have been satisfied or waived.</w:t>
      </w:r>
    </w:p>
    <w:p>
      <w:r>
        <w:t>28. WHEREFORE, Plaintiff demands judgment against Defendant for compensatory damages, consequential damages, punitive damages, attorneys' fees, costs, and such other relief as the Court deems just and proper.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