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EXHIBIT A</w:t>
      </w:r>
    </w:p>
    <w:p/>
    <w:p>
      <w:r>
        <w:t>MASTER SERVICES AGREEMENT</w:t>
      </w:r>
    </w:p>
    <w:p>
      <w:r>
        <w:t>Effective Date: January 15, 2024</w:t>
      </w:r>
    </w:p>
    <w:p/>
    <w:p>
      <w:r>
        <w:t>SECTION 3. SERVICE LEVELS</w:t>
      </w:r>
    </w:p>
    <w:p/>
    <w:p>
      <w:r>
        <w:t>3.1 Uptime Guarantee. Provider shall maintain a monthly uptime percentage of at least 99.99% for all hosted services, measured as the total number of minutes in the applicable month minus the total number of minutes of Downtime, divided by the total number of minutes in the applicable month.</w:t>
      </w:r>
    </w:p>
    <w:p/>
    <w:p>
      <w:r>
        <w:t>3.2 Downtime Credits. For each full hour of Downtime in excess of the permitted downtime threshold, Provider shall credit Customer an amount equal to 2% of the monthly service fee, up to a maximum credit of 100% of the monthly service fee.</w:t>
      </w:r>
    </w:p>
    <w:p/>
    <w:p>
      <w:r>
        <w:t>3.3 Termination for Chronic Failure. If the monthly uptime percentage falls below 95% in any two consecutive months, or below 99% in any three months during a twelve-month period, Customer may terminate this Agreement immediately upon written notice.</w:t>
      </w:r>
    </w:p>
    <w:p/>
    <w:p>
      <w:r>
        <w:t>SECTION 4. INFRASTRUCTURE</w:t>
      </w:r>
    </w:p>
    <w:p/>
    <w:p>
      <w:r>
        <w:t>4.1 Hosting Environment. Provider shall host all Customer data and applications on enterprise-grade server infrastructure meeting or exceeding the specifications set forth in Schedule B.</w:t>
      </w:r>
    </w:p>
    <w:p/>
    <w:p>
      <w:r>
        <w:t>4.2 Material Changes. Provider shall not make any material changes to the hosting environment, including but not limited to migration to different server hardware or cloud infrastructure, without Customer's prior written consent.</w:t>
      </w:r>
    </w:p>
    <w:p/>
    <w:p>
      <w:r>
        <w:t>4.3 Security Standards. Provider shall maintain all security certifications listed in Schedule C and shall comply with HIPAA requirements at all times.</w:t>
      </w:r>
    </w:p>
    <w:p/>
    <w:p>
      <w:r>
        <w:t>SECTION 12. LIMITATION OF LIABILITY</w:t>
      </w:r>
    </w:p>
    <w:p/>
    <w:p>
      <w:r>
        <w:t>12.1 Cap. Except for breaches of Section 8 (Confidentiality) and Section 9 (Indemnification), neither party's aggregate liability under this Agreement shall exceed the total fees paid by Customer during the twelve-month period immediately preceding the claim.</w:t>
      </w:r>
    </w:p>
    <w:p/>
    <w:p>
      <w:r>
        <w:t>12.2 Exclusion of Consequential Damages. IN NO EVENT SHALL EITHER PARTY BE LIABLE FOR ANY INDIRECT, INCIDENTAL, SPECIAL, CONSEQUENTIAL, OR PUNITIVE DAMAGES.</w:t>
      </w:r>
    </w:p>
    <w:p/>
    <w:p>
      <w:r>
        <w:t>12.3 Exceptions. The limitations in this Section 12 shall not apply to: (a) breaches of Section 8; (b) Provider's indemnification obligations under Section 9; or (c) damages arising from Provider's gross negligence or willful misconduct.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