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THE UNITED STATES DISTRICT COURT</w:t>
      </w:r>
    </w:p>
    <w:p>
      <w:r>
        <w:t>FOR THE EASTERN DISTRICT OF PENNSYLVANIA</w:t>
      </w:r>
    </w:p>
    <w:p/>
    <w:p>
      <w:r>
        <w:t>APEX SOFTWARE SOLUTIONS LLC, Plaintiff,</w:t>
      </w:r>
    </w:p>
    <w:p>
      <w:r>
        <w:t>v.</w:t>
      </w:r>
    </w:p>
    <w:p>
      <w:r>
        <w:t>KEYSTONE PHARMA GROUP LLC, Defendant.</w:t>
      </w:r>
    </w:p>
    <w:p/>
    <w:p>
      <w:r>
        <w:t>Case No. 2:25-cv-01789</w:t>
      </w:r>
    </w:p>
    <w:p/>
    <w:p>
      <w:r>
        <w:t>MEMORANDUM IN SUPPORT OF MOTION FOR SUMMARY JUDGMENT</w:t>
      </w:r>
    </w:p>
    <w:p/>
    <w:p>
      <w:r>
        <w:t>I. INTRODUCTION</w:t>
      </w:r>
    </w:p>
    <w:p/>
    <w:p>
      <w:r>
        <w:t>This action arises from Defendant's catastrophic breach of a Master Services Agreement. On January 15, 2024, the parties entered into the MSA under which Defendant guaranteed 99.99% uptime for cloud infrastructure services. Compl. ¶ 6. Defendant's services experienced over 340 hours of downtime in just six months — a massive failure by any standard.</w:t>
      </w:r>
    </w:p>
    <w:p/>
    <w:p>
      <w:r>
        <w:t>II. UNDISPUTED FACTS</w:t>
      </w:r>
    </w:p>
    <w:p/>
    <w:p>
      <w:r>
        <w:t>The MSA required Defendant to maintain "a monthly uptime percentage of at least 99.99% for all hosted services." Ex. A at 3. This guarantee was a material term of the agreement and a key inducement for Plaintiff to enter into the contract.</w:t>
      </w:r>
    </w:p>
    <w:p/>
    <w:p>
      <w:r>
        <w:t>Crucially, the MSA prohibited Defendant from making material changes to the hosting infrastructure without Plaintiff's prior written consent. Ex. A at 4. Despite this requirement, Defendant secretly migrated to a cheaper hosting platform in February 2024.</w:t>
      </w:r>
    </w:p>
    <w:p/>
    <w:p>
      <w:r>
        <w:t>Defendant's own CTO admitted that the migration was the primary cause of the outages: "The primary cause was our migration to a new hosting platform in February 2024." Smith Dep. 42:20-21. The migration was undertaken to reduce operating costs without regard for service quality.</w:t>
      </w:r>
    </w:p>
    <w:p/>
    <w:p>
      <w:r>
        <w:t>Mr. Smith further admitted that Defendant did not inform Plaintiff about the migration: "No, we did not." Smith Dep. 42:3. This concealment constitutes a clear breach of Section 4.2 of the MSA.</w:t>
      </w:r>
    </w:p>
    <w:p/>
    <w:p>
      <w:r>
        <w:t>The scope of the failure is staggering. Defendant's internal logs confirm "approximately 340 hours of cumulative downtime across all incidents." Smith Dep. 45:4-5.</w:t>
      </w:r>
    </w:p>
    <w:p/>
    <w:p>
      <w:r>
        <w:t>Plaintiff has suffered total damages exceeding $18.6 million. Compl. ¶ 34. These damages include lost revenue from seventeen enterprise clients and $2.3 million in emergency remediation costs.</w:t>
      </w:r>
    </w:p>
    <w:p/>
    <w:p>
      <w:r>
        <w:t>Plaintiff's CFO has confirmed that the lost clients represented "approximately $12.7 million in annual recurring revenue." Johnson Decl. ¶ 4.</w:t>
      </w:r>
    </w:p>
    <w:p/>
    <w:p>
      <w:r>
        <w:t>The total financial impact on Plaintiff exceeds $20 million when accounting for all categories of damages. Johnson Decl. ¶ 15.</w:t>
      </w:r>
    </w:p>
    <w:p/>
    <w:p>
      <w:r>
        <w:t>In his June 15 email, Defendant's CTO explicitly acknowledged the root cause: "We made a strategic decision to migrate our infrastructure to save approximately 40% in operating costs, fully knowing that it might affect service reliability." Ex. B at 6.</w:t>
      </w:r>
    </w:p>
    <w:p/>
    <w:p>
      <w:r>
        <w:t>Financial records confirm that Defendant retained all $3.6 million in service fees without providing any service credits. Ex. F at 2.</w:t>
      </w:r>
    </w:p>
    <w:p/>
    <w:p>
      <w:r>
        <w:t>Defendant's VP of Operations wrote: "Our clients are threatening to terminate their contracts with us." Ex. B at 5.</w:t>
      </w:r>
    </w:p>
    <w:p/>
    <w:p>
      <w:r>
        <w:t>Mr. Smith testified that Defendant's board was fully aware of the risks. Smith Dep. 50:12-15.</w:t>
      </w:r>
    </w:p>
    <w:p/>
    <w:p>
      <w:r>
        <w:t>The total financial impact on Apex exceeds $15.4 million. Johnson Decl. ¶ 8.</w:t>
      </w:r>
    </w:p>
    <w:p/>
    <w:p>
      <w:r>
        <w:t>Defendant's CTO admitted in the June 15 email that the outages were "caused by Defendant's decision to migrate to cheaper server infrastructure without adequate testing." Compl. ¶ 17.</w:t>
      </w:r>
    </w:p>
    <w:p/>
    <w:p>
      <w:r>
        <w:t>III. CONCLUSION</w:t>
      </w:r>
    </w:p>
    <w:p/>
    <w:p>
      <w:r>
        <w:t>The undisputed record evidence establishes Defendant's breach of the MSA and fraud. Plaintiff is entitled to summary judgment on all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