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Analysis of Delaware's Demand Requirement for Derivative Actions</w:t>
      </w:r>
    </w:p>
    <w:p>
      <w:pPr>
        <w:pStyle w:val="Heading1"/>
      </w:pPr>
      <w:r>
        <w:t>Analysis of Delaware's Demand Requirement for Derivative Actions</w:t>
      </w:r>
    </w:p>
    <w:p>
      <w:pPr>
        <w:pStyle w:val="Heading2"/>
      </w:pPr>
      <w:r>
        <w:t>I. Introduction</w:t>
      </w:r>
    </w:p>
    <w:p>
      <w:r>
        <w:t>Delaware General Corporation Law ("DGCL") § 327 outlines the requirements for derivative actions, where shareholders bring claims on behalf of a corporation to address wrongdoings by the corporation's directors or officers. One essential aspect of these actions is the demand requirement, which necessitates shareholders to make a demand upon the corporation's board of directors before instituting a derivative action.</w:t>
      </w:r>
    </w:p>
    <w:p>
      <w:pPr>
        <w:pStyle w:val="Heading2"/>
      </w:pPr>
      <w:r>
        <w:t>II. Legal Standard under Delaware General Corporation Law § 327</w:t>
      </w:r>
    </w:p>
    <w:p>
      <w:r>
        <w:t xml:space="preserve">Pursuant to DGCL § 327(b), a derivative action may only be brought if: </w:t>
      </w:r>
    </w:p>
    <w:p>
      <w:r>
        <w:t>1. The plaintiff was a shareholder at the time of the action or became a shareholder as a result of the action;</w:t>
      </w:r>
    </w:p>
    <w:p>
      <w:r>
        <w:t>2. The plaintiff's interest in the corporation exceeds $2 in value; and</w:t>
      </w:r>
    </w:p>
    <w:p>
      <w:r>
        <w:t>3. The plaintiff has made a demand upon the corporation's board of directors to take appropriate action to redress the alleged injury, unless excused from doing so.</w:t>
      </w:r>
    </w:p>
    <w:p>
      <w:pPr>
        <w:pStyle w:val="Heading2"/>
      </w:pPr>
      <w:r>
        <w:t>III. Demand Futility Exceptions (Aronson v. Lewis Test)</w:t>
      </w:r>
    </w:p>
    <w:p>
      <w:r>
        <w:t xml:space="preserve">Under *Aronson v. Lewis*, 473 A.2d 805 (Del. 1984), the demand requirement may be excused if the plaintiff can demonstrate that the board of directors acted in bad faith or exhibited gross negligence in refusing to take action in response to the demand. </w:t>
      </w:r>
    </w:p>
    <w:p>
      <w:r>
        <w:t>To satisfy the *Aronson v. Lewis* test, the plaintiff must establish that:</w:t>
      </w:r>
    </w:p>
    <w:p>
      <w:r>
        <w:t>1. A majority of the board of directors acted in bad faith or exhibited gross negligence;</w:t>
      </w:r>
    </w:p>
    <w:p>
      <w:r>
        <w:t>2. A majority of the independent and disinterested directors could not have properly exercised their business judgment; and</w:t>
      </w:r>
    </w:p>
    <w:p>
      <w:r>
        <w:t>3. The plaintiff's claim has merit.</w:t>
      </w:r>
    </w:p>
    <w:p>
      <w:pPr>
        <w:pStyle w:val="Heading2"/>
      </w:pPr>
      <w:r>
        <w:t>IV. Recent Delaware Supreme Court Developments</w:t>
      </w:r>
    </w:p>
    <w:p>
      <w:r>
        <w:t>In *Cornerstone Therapeutics Inc. v. Prof'l Derivative Action Litig.*, 73 A.3d 697 (Del. 2013), the Delaware Supreme Court emphasized the significance of shareholders' duty to exhaust remedies available under the corporation's charter documents before resorting to a derivative action.</w:t>
      </w:r>
    </w:p>
    <w:p>
      <w:r>
        <w:t>In *Marchand v. Barnhill*, 94 A.3d 956 (Del. 2014), the Court clarified that the *Aronson v. Lewis* test should be applied with a "sliding scale" approach, where the plaintiff's burden of proof increases as the degree of independence and disinterestedness of the board members increases.</w:t>
      </w:r>
    </w:p>
    <w:p>
      <w:pPr>
        <w:pStyle w:val="Heading2"/>
      </w:pPr>
      <w:r>
        <w:t>V. Practical Implications for Shareholders</w:t>
      </w:r>
    </w:p>
    <w:p>
      <w:r>
        <w:t>Shareholders must carefully consider the demand requirement and the *Aronson v. Lewis* test before initiating a derivative action. A failure to comply with these requirements may result in the dismissal of the action, as demonstrated in *In re Citigroup Inc. Shareholder Derivative Litigation*, 2013 WL 5525877 (Del. Ch. 2013).</w:t>
      </w:r>
    </w:p>
    <w:p>
      <w:pPr>
        <w:pStyle w:val="Heading2"/>
      </w:pPr>
      <w:r>
        <w:t>VI. Strategic Considerations for Plaintiffs and Defendants</w:t>
      </w:r>
    </w:p>
    <w:p>
      <w:r>
        <w:t>**Plaintiffs** should carefully evaluate the board's actions in response to their demand and consider the degree of independence and disinterestedness of the board members when determining whether to pursue a derivative action.</w:t>
      </w:r>
    </w:p>
    <w:p>
      <w:r>
        <w:t>**Defendants**, on the other hand, may be able to assert the demand requirement as a defense to derivative actions, particularly if they can demonstrate that the board acted in good faith and exercised their business judgment.</w:t>
      </w:r>
    </w:p>
    <w:p>
      <w:pPr>
        <w:pStyle w:val="Heading2"/>
      </w:pPr>
      <w:r>
        <w:t>VII. Key Case Citations</w:t>
      </w:r>
    </w:p>
    <w:p>
      <w:r>
        <w:t>1. *Aronson v. Lewis*, 473 A.2d 805 (Del. 1984)</w:t>
      </w:r>
    </w:p>
    <w:p>
      <w:r>
        <w:t>2. *Cornerstone Therapeutics Inc. v. Prof'l Derivative Action Litig.*, 73 A.3d 697 (Del. 2013)</w:t>
      </w:r>
    </w:p>
    <w:p>
      <w:r>
        <w:t>3. *Marchand v. Barnhill*, 94 A.3d 956 (Del. 2014)</w:t>
      </w:r>
    </w:p>
    <w:p>
      <w:r>
        <w:t>4. *In re Citigroup Inc. Shareholder Derivative Litigation*, 2013 WL 5525877 (Del. Ch. 2013)</w:t>
      </w:r>
    </w:p>
    <w:p>
      <w:pPr>
        <w:pStyle w:val="Heading2"/>
      </w:pPr>
      <w:r>
        <w:t>VIII. Conclusion</w:t>
      </w:r>
    </w:p>
    <w:p>
      <w:r>
        <w:t>Delaware's demand requirement and the *Aronson v. Lewis* test play a critical role in derivative actions, setting a high bar for shareholders seeking to bring such actions. Shareholders and corporations alike must be mindful of these requirements and their implications when navigating the complex landscape of derivative litigation.</w:t>
      </w:r>
    </w:p>
    <w:p>
      <w:r>
        <w:t>---</w:t>
      </w:r>
    </w:p>
    <w:p>
      <w:r>
        <w:t>**Bluebook Citation Format:**</w:t>
      </w:r>
    </w:p>
    <w:p>
      <w:r>
        <w:t>- *Aronson v. Lewis*, 473 A.2d 805 (Del. 1984)</w:t>
      </w:r>
    </w:p>
    <w:p>
      <w:r>
        <w:t>- *Cornerstone Therapeutics Inc. v. Prof'l Derivative Action Litig.*, 73 A.3d 697 (Del. 2013)</w:t>
      </w:r>
    </w:p>
    <w:p>
      <w:r>
        <w:t>- *Marchand v. Barnhill*, 94 A.3d 956 (Del. 2014)</w:t>
      </w:r>
    </w:p>
    <w:p>
      <w:r>
        <w:t>- *In re Citigroup Inc. Shareholder Derivative Litigation*, 2013 WL 5525877 (Del. Ch. 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