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11358" w:type="dxa"/>
        <w:jc w:val="left"/>
        <w:tblInd w:w="0" w:type="dxa"/>
        <w:tblLayout w:type="fixed"/>
        <w:tblCellMar>
          <w:top w:w="0" w:type="dxa"/>
          <w:left w:w="108" w:type="dxa"/>
          <w:bottom w:w="0" w:type="dxa"/>
          <w:right w:w="108" w:type="dxa"/>
        </w:tblCellMar>
        <w:tblLook w:firstRow="0" w:noVBand="0" w:lastRow="0" w:firstColumn="0" w:lastColumn="0" w:noHBand="0" w:val="0000"/>
      </w:tblPr>
      <w:tblGrid>
        <w:gridCol w:w="5688"/>
        <w:gridCol w:w="5669"/>
      </w:tblGrid>
      <w:tr>
        <w:trPr>
          <w:trHeight w:val="1260" w:hRule="atLeast"/>
        </w:trPr>
        <w:tc>
          <w:tcPr>
            <w:tcW w:w="5688" w:type="dxa"/>
            <w:tcBorders/>
            <w:shd w:color="auto" w:fill="auto" w:val="clear"/>
            <w:vAlign w:val="center"/>
          </w:tcPr>
          <w:p>
            <w:pPr>
              <w:pStyle w:val="Normal"/>
              <w:spacing w:lineRule="auto" w:line="240" w:before="0" w:after="0"/>
              <w:rPr/>
            </w:pPr>
            <w:r>
              <w:rPr>
                <w:rFonts w:cs="Century Gothic" w:ascii="Century Gothic" w:hAnsi="Century Gothic"/>
                <w:b/>
                <w:smallCaps/>
                <w:sz w:val="52"/>
                <w:szCs w:val="52"/>
              </w:rPr>
              <w:t>McVey, Ryan</w:t>
            </w:r>
          </w:p>
        </w:tc>
        <w:tc>
          <w:tcPr>
            <w:tcW w:w="5669" w:type="dxa"/>
            <w:tcBorders/>
            <w:shd w:color="auto" w:fill="auto" w:val="clear"/>
            <w:vAlign w:val="center"/>
          </w:tcPr>
          <w:p>
            <w:pPr>
              <w:pStyle w:val="Normal"/>
              <w:spacing w:lineRule="auto" w:line="240" w:before="0" w:after="0"/>
              <w:rPr>
                <w:sz w:val="21"/>
                <w:szCs w:val="21"/>
              </w:rPr>
            </w:pPr>
            <w:r>
              <w:rPr>
                <w:caps/>
                <w:sz w:val="21"/>
                <w:szCs w:val="21"/>
              </w:rPr>
              <w:t xml:space="preserve">                                                      </w:t>
            </w:r>
            <w:r>
              <w:rPr>
                <w:caps/>
                <w:sz w:val="21"/>
                <w:szCs w:val="21"/>
              </w:rPr>
              <w:t>201 N Muessing St</w:t>
            </w:r>
          </w:p>
          <w:p>
            <w:pPr>
              <w:pStyle w:val="Normal"/>
              <w:spacing w:lineRule="auto" w:line="240" w:before="0" w:after="0"/>
              <w:rPr>
                <w:sz w:val="21"/>
                <w:szCs w:val="21"/>
              </w:rPr>
            </w:pPr>
            <w:r>
              <w:rPr>
                <w:caps/>
                <w:sz w:val="21"/>
                <w:szCs w:val="21"/>
              </w:rPr>
              <w:t xml:space="preserve">                                                      </w:t>
            </w:r>
            <w:r>
              <w:rPr>
                <w:caps/>
                <w:sz w:val="21"/>
                <w:szCs w:val="21"/>
              </w:rPr>
              <w:t>Indianapolis, IN</w:t>
            </w:r>
          </w:p>
          <w:p>
            <w:pPr>
              <w:pStyle w:val="Normal"/>
              <w:spacing w:lineRule="auto" w:line="240" w:before="0" w:after="0"/>
              <w:rPr>
                <w:sz w:val="21"/>
                <w:szCs w:val="21"/>
              </w:rPr>
            </w:pPr>
            <w:r>
              <w:rPr>
                <w:caps/>
                <w:sz w:val="21"/>
                <w:szCs w:val="21"/>
              </w:rPr>
              <w:t xml:space="preserve">                                                      </w:t>
            </w:r>
            <w:r>
              <w:rPr>
                <w:caps/>
                <w:sz w:val="21"/>
                <w:szCs w:val="21"/>
              </w:rPr>
              <w:t>rjmcvey2013@gmail.com</w:t>
            </w:r>
          </w:p>
          <w:p>
            <w:pPr>
              <w:pStyle w:val="Normal"/>
              <w:spacing w:lineRule="auto" w:line="240" w:before="0" w:after="0"/>
              <w:rPr>
                <w:sz w:val="21"/>
                <w:szCs w:val="21"/>
              </w:rPr>
            </w:pPr>
            <w:r>
              <w:rPr>
                <w:caps/>
                <w:sz w:val="21"/>
                <w:szCs w:val="21"/>
              </w:rPr>
              <w:t xml:space="preserve">                                                      </w:t>
            </w:r>
            <w:r>
              <w:rPr>
                <w:caps/>
                <w:sz w:val="21"/>
                <w:szCs w:val="21"/>
              </w:rPr>
              <w:t>317-441-2052</w:t>
            </w:r>
          </w:p>
        </w:tc>
      </w:tr>
      <w:tr>
        <w:trPr/>
        <w:tc>
          <w:tcPr>
            <w:tcW w:w="11357" w:type="dxa"/>
            <w:gridSpan w:val="2"/>
            <w:tcBorders/>
            <w:shd w:color="auto" w:fill="auto" w:val="clear"/>
          </w:tcPr>
          <w:p>
            <w:pPr>
              <w:pStyle w:val="Normal"/>
              <w:pBdr>
                <w:bottom w:val="single" w:sz="4" w:space="1" w:color="808080"/>
              </w:pBdr>
              <w:spacing w:lineRule="auto" w:line="240" w:before="0" w:after="0"/>
              <w:rPr/>
            </w:pPr>
            <w:r>
              <w:rPr>
                <w:b/>
                <w:sz w:val="28"/>
                <w:szCs w:val="28"/>
              </w:rPr>
              <w:t>Cover Letter for Insight - Architect 1</w:t>
            </w:r>
          </w:p>
          <w:p>
            <w:pPr>
              <w:pStyle w:val="BodyText"/>
              <w:spacing w:lineRule="auto" w:line="240" w:before="0" w:after="0"/>
              <w:rPr/>
            </w:pPr>
            <w:r>
              <w:rPr/>
            </w:r>
          </w:p>
          <w:p>
            <w:pPr>
              <w:pStyle w:val="Heading2"/>
              <w:numPr>
                <w:ilvl w:val="1"/>
                <w:numId w:val="1"/>
              </w:numPr>
              <w:ind w:hanging="0" w:left="0"/>
              <w:rPr/>
            </w:pPr>
            <w:r>
              <w:rPr/>
              <w:t>Cloud &amp; AI Architecture</w:t>
            </w:r>
          </w:p>
          <w:p>
            <w:pPr>
              <w:pStyle w:val="Normal"/>
              <w:rPr/>
            </w:pPr>
            <w:r>
              <w:rPr/>
            </w:r>
          </w:p>
          <w:p>
            <w:pPr>
              <w:pStyle w:val="Normal"/>
              <w:rPr/>
            </w:pPr>
            <w:r>
              <w:rPr/>
              <w:t>Currently, as a primary Technology Architect for the State of Indiana, I bring 20 years of experience spanning military, private sector, and government technology environments. I have led enterprise-wide modernization efforts, serving as the strategic and hands-on force behind the State's hybrid cloud transformation. This includes building secure, scalable solutions across primarily Azure and AWS with integration to traditional data centers, guiding teams through PaaS adoption via re-platforming existing IaaS based applications or net new applications via SDLC modernization. Recently I have been skilling and piloting AI/ML integration for Information Systems, always aligning technical design to organizational outcomes.</w:t>
            </w:r>
          </w:p>
          <w:p>
            <w:pPr>
              <w:pStyle w:val="Normal"/>
              <w:rPr/>
            </w:pPr>
            <w:r>
              <w:rPr/>
            </w:r>
          </w:p>
          <w:p>
            <w:pPr>
              <w:pStyle w:val="Normal"/>
              <w:rPr/>
            </w:pPr>
            <w:r>
              <w:rPr/>
              <w:t>I have worked directly with Azure API Management for scoped implementations and partnered with MuleSoft engineers to advance enterprise API governance strategies. On the networking side, I have designed and implemented traditional ASA-based inner/outer perimeter architectures and more recently led the shift to Azure ExpressRoute with private circuit peering over Internet2. This architecture provides resilient, compliant connectivity between cloud environments and core data center workloads, enabling high-performance hybrid deployments.</w:t>
            </w:r>
          </w:p>
          <w:p>
            <w:pPr>
              <w:pStyle w:val="Normal"/>
              <w:rPr/>
            </w:pPr>
            <w:r>
              <w:rPr/>
            </w:r>
          </w:p>
          <w:p>
            <w:pPr>
              <w:pStyle w:val="Normal"/>
              <w:rPr/>
            </w:pPr>
            <w:r>
              <w:rPr/>
              <w:t>One of my recent impactful contributions was the architecture and deployment of a secured AI sandbox with integrated data indexing, recognized by state leadership for its enterprise viability. This initiative enabled responsible AI experimentation within strict governance boundaries. I hold multiple Microsoft certifications, including Azure Solutions Architect Expert and AI Engineer Associate, and remain actively engaged in developing next-generation solutions. I am excited about the Architect I role at Insight and ready to bring leadership, technical precision, and client-focused delivery to your team.</w:t>
            </w:r>
          </w:p>
          <w:p>
            <w:pPr>
              <w:pStyle w:val="Normal"/>
              <w:rPr/>
            </w:pPr>
            <w:r>
              <w:rPr/>
            </w:r>
          </w:p>
          <w:p>
            <w:pPr>
              <w:pStyle w:val="Normal"/>
              <w:rPr/>
            </w:pPr>
            <w:r>
              <w:rPr/>
              <w:t>Ryan McVey</w:t>
            </w:r>
          </w:p>
          <w:p>
            <w:pPr>
              <w:pStyle w:val="BodyText"/>
              <w:spacing w:lineRule="auto" w:line="240" w:before="0" w:after="0"/>
              <w:rPr/>
            </w:pPr>
            <w:hyperlink r:id="rId2">
              <w:r>
                <w:rPr>
                  <w:rStyle w:val="Hyperlink"/>
                </w:rPr>
                <w:t>rjmcvey2013@gmail.com</w:t>
              </w:r>
            </w:hyperlink>
          </w:p>
          <w:p>
            <w:pPr>
              <w:pStyle w:val="BodyText"/>
              <w:spacing w:lineRule="auto" w:line="240" w:before="0" w:after="0"/>
              <w:rPr/>
            </w:pPr>
            <w:r>
              <w:rPr/>
            </w:r>
          </w:p>
          <w:p>
            <w:pPr>
              <w:pStyle w:val="BodyText"/>
              <w:spacing w:lineRule="auto" w:line="240" w:before="0" w:after="0"/>
              <w:rPr/>
            </w:pPr>
            <w:r>
              <w:rPr/>
            </w:r>
          </w:p>
          <w:p>
            <w:pPr>
              <w:pStyle w:val="BodyText"/>
              <w:spacing w:lineRule="auto" w:line="240" w:before="0" w:after="0"/>
              <w:rPr/>
            </w:pPr>
            <w:r>
              <w:rPr/>
            </w:r>
          </w:p>
          <w:p>
            <w:pPr>
              <w:pStyle w:val="BodyText"/>
              <w:spacing w:lineRule="auto" w:line="240" w:before="0" w:after="0"/>
              <w:rPr/>
            </w:pPr>
            <w:r>
              <w:rPr/>
            </w:r>
          </w:p>
          <w:p>
            <w:pPr>
              <w:pStyle w:val="BodyText"/>
              <w:spacing w:lineRule="auto" w:line="240" w:before="0" w:after="0"/>
              <w:rPr/>
            </w:pPr>
            <w:r>
              <w:rPr/>
            </w:r>
          </w:p>
          <w:p>
            <w:pPr>
              <w:pStyle w:val="BodyText"/>
              <w:spacing w:lineRule="auto" w:line="240" w:before="0" w:after="0"/>
              <w:rPr/>
            </w:pPr>
            <w:r>
              <w:rPr/>
            </w:r>
          </w:p>
          <w:p>
            <w:pPr>
              <w:pStyle w:val="BodyText"/>
              <w:spacing w:lineRule="auto" w:line="240" w:before="0" w:after="0"/>
              <w:rPr/>
            </w:pPr>
            <w:r>
              <w:rPr/>
            </w:r>
          </w:p>
          <w:p>
            <w:pPr>
              <w:pStyle w:val="BodyText"/>
              <w:spacing w:lineRule="auto" w:line="240" w:before="0" w:after="0"/>
              <w:rPr/>
            </w:pPr>
            <w:r>
              <w:rPr/>
            </w:r>
          </w:p>
          <w:p>
            <w:pPr>
              <w:pStyle w:val="BodyText"/>
              <w:spacing w:lineRule="auto" w:line="240" w:before="0" w:after="0"/>
              <w:rPr/>
            </w:pPr>
            <w:r>
              <w:rPr/>
            </w:r>
          </w:p>
          <w:p>
            <w:pPr>
              <w:pStyle w:val="BodyText"/>
              <w:spacing w:lineRule="auto" w:line="240" w:before="0" w:after="0"/>
              <w:rPr/>
            </w:pPr>
            <w:r>
              <w:rPr/>
            </w:r>
          </w:p>
          <w:p>
            <w:pPr>
              <w:pStyle w:val="BodyText"/>
              <w:spacing w:lineRule="auto" w:line="240" w:before="0" w:after="0"/>
              <w:rPr/>
            </w:pPr>
            <w:r>
              <w:rPr/>
            </w:r>
          </w:p>
        </w:tc>
      </w:tr>
      <w:tr>
        <w:trPr/>
        <w:tc>
          <w:tcPr>
            <w:tcW w:w="11357" w:type="dxa"/>
            <w:gridSpan w:val="2"/>
            <w:tcBorders/>
            <w:shd w:color="auto" w:fill="auto" w:val="clear"/>
          </w:tcPr>
          <w:p>
            <w:pPr>
              <w:pStyle w:val="BodyText"/>
              <w:snapToGrid w:val="false"/>
              <w:spacing w:lineRule="auto" w:line="240" w:before="0" w:after="0"/>
              <w:rPr>
                <w:rStyle w:val="Strong"/>
                <w:sz w:val="24"/>
                <w:szCs w:val="24"/>
              </w:rPr>
            </w:pPr>
            <w:r>
              <w:rPr/>
            </w:r>
          </w:p>
          <w:p>
            <w:pPr>
              <w:pStyle w:val="BodyText"/>
              <w:snapToGrid w:val="false"/>
              <w:spacing w:lineRule="auto" w:line="240" w:before="0" w:after="0"/>
              <w:rPr>
                <w:rStyle w:val="Strong"/>
                <w:sz w:val="24"/>
                <w:szCs w:val="24"/>
              </w:rPr>
            </w:pPr>
            <w:r>
              <w:rPr/>
            </w:r>
          </w:p>
          <w:p>
            <w:pPr>
              <w:pStyle w:val="BodyText"/>
              <w:snapToGrid w:val="false"/>
              <w:spacing w:lineRule="auto" w:line="240" w:before="0" w:after="0"/>
              <w:rPr>
                <w:rStyle w:val="Strong"/>
                <w:sz w:val="24"/>
                <w:szCs w:val="24"/>
              </w:rPr>
            </w:pPr>
            <w:r>
              <w:rPr/>
            </w:r>
          </w:p>
          <w:p>
            <w:pPr>
              <w:pStyle w:val="BodyText"/>
              <w:snapToGrid w:val="false"/>
              <w:spacing w:lineRule="auto" w:line="240" w:before="0" w:after="0"/>
              <w:rPr/>
            </w:pPr>
            <w:r>
              <w:rPr>
                <w:rStyle w:val="Strong"/>
                <w:sz w:val="24"/>
                <w:szCs w:val="24"/>
              </w:rPr>
              <w:t>Professional Summary</w:t>
            </w:r>
          </w:p>
          <w:p>
            <w:pPr>
              <w:pStyle w:val="BodyText"/>
              <w:snapToGrid w:val="false"/>
              <w:spacing w:lineRule="auto" w:line="240" w:before="0" w:after="0"/>
              <w:rPr>
                <w:sz w:val="20"/>
                <w:szCs w:val="20"/>
              </w:rPr>
            </w:pPr>
            <w:r>
              <w:rPr>
                <w:sz w:val="20"/>
                <w:szCs w:val="20"/>
              </w:rPr>
            </w:r>
          </w:p>
          <w:p>
            <w:pPr>
              <w:pStyle w:val="BodyText"/>
              <w:rPr/>
            </w:pPr>
            <w:r>
              <w:rPr/>
              <w:t>Strategic technology leader with 20 years of experience designing and supporting enterprise-scale applications, hybrid cloud infrastructure, and data-driven modernization programs. Adept at improving operational efficiency through secure, observable, and automated Information Systems that integrate custom and COTS software. Combines technical fluency with strong business alignment to support manufacturing, logistics, and corporate platforms. Brings hands on expertise in SDLC modernization, telemetry-driven APM practices, and secure system life cycle design across Azure, AWS, and traditional data centers.</w:t>
            </w:r>
          </w:p>
          <w:p>
            <w:pPr>
              <w:pStyle w:val="HorizontalLine"/>
              <w:rPr/>
            </w:pPr>
            <w:r>
              <w:rPr/>
            </w:r>
          </w:p>
          <w:p>
            <w:pPr>
              <w:pStyle w:val="BodyText"/>
              <w:rPr/>
            </w:pPr>
            <w:r>
              <w:rPr/>
            </w:r>
          </w:p>
          <w:p>
            <w:pPr>
              <w:pStyle w:val="BodyText"/>
              <w:rPr/>
            </w:pPr>
            <w:r>
              <w:rPr>
                <w:rStyle w:val="Strong"/>
              </w:rPr>
              <w:t>Key Skills &amp; Tools</w:t>
            </w:r>
          </w:p>
          <w:p>
            <w:pPr>
              <w:pStyle w:val="BodyText"/>
              <w:numPr>
                <w:ilvl w:val="0"/>
                <w:numId w:val="2"/>
              </w:numPr>
              <w:tabs>
                <w:tab w:val="clear" w:pos="720"/>
                <w:tab w:val="left" w:pos="0" w:leader="none"/>
              </w:tabs>
              <w:ind w:hanging="283" w:left="709"/>
              <w:rPr/>
            </w:pPr>
            <w:r>
              <w:rPr/>
              <w:t>Application Life Cycle Management (SDLC, CI/CD)</w:t>
            </w:r>
          </w:p>
          <w:p>
            <w:pPr>
              <w:pStyle w:val="BodyText"/>
              <w:numPr>
                <w:ilvl w:val="0"/>
                <w:numId w:val="2"/>
              </w:numPr>
              <w:tabs>
                <w:tab w:val="clear" w:pos="720"/>
                <w:tab w:val="left" w:pos="0" w:leader="none"/>
              </w:tabs>
              <w:ind w:hanging="283" w:left="709"/>
              <w:rPr/>
            </w:pPr>
            <w:r>
              <w:rPr/>
              <w:t>Application Performance Monitoring (APM): Azure Monitor, App Insights, Cisco AppDynamics</w:t>
            </w:r>
          </w:p>
          <w:p>
            <w:pPr>
              <w:pStyle w:val="BodyText"/>
              <w:numPr>
                <w:ilvl w:val="0"/>
                <w:numId w:val="2"/>
              </w:numPr>
              <w:tabs>
                <w:tab w:val="clear" w:pos="720"/>
                <w:tab w:val="left" w:pos="0" w:leader="none"/>
              </w:tabs>
              <w:ind w:hanging="283" w:left="709"/>
              <w:rPr/>
            </w:pPr>
            <w:r>
              <w:rPr/>
              <w:t>Infrastructure as Code (IaC): GitHub Enterprise Cloud, PowerShell, Bicep / ARM</w:t>
            </w:r>
          </w:p>
          <w:p>
            <w:pPr>
              <w:pStyle w:val="BodyText"/>
              <w:numPr>
                <w:ilvl w:val="0"/>
                <w:numId w:val="2"/>
              </w:numPr>
              <w:tabs>
                <w:tab w:val="clear" w:pos="720"/>
                <w:tab w:val="left" w:pos="0" w:leader="none"/>
              </w:tabs>
              <w:ind w:hanging="283" w:left="709"/>
              <w:rPr/>
            </w:pPr>
            <w:r>
              <w:rPr/>
              <w:t>API Platforms: Azure API Management, MuleSoft (cross-team collaboration)</w:t>
            </w:r>
          </w:p>
          <w:p>
            <w:pPr>
              <w:pStyle w:val="BodyText"/>
              <w:numPr>
                <w:ilvl w:val="0"/>
                <w:numId w:val="2"/>
              </w:numPr>
              <w:tabs>
                <w:tab w:val="clear" w:pos="720"/>
                <w:tab w:val="left" w:pos="0" w:leader="none"/>
              </w:tabs>
              <w:ind w:hanging="283" w:left="709"/>
              <w:rPr/>
            </w:pPr>
            <w:r>
              <w:rPr/>
              <w:t>Identity &amp; Compliance: RBAC, IAM, NIST 800-53, CIS Benchmarks</w:t>
            </w:r>
          </w:p>
          <w:p>
            <w:pPr>
              <w:pStyle w:val="BodyText"/>
              <w:numPr>
                <w:ilvl w:val="0"/>
                <w:numId w:val="2"/>
              </w:numPr>
              <w:tabs>
                <w:tab w:val="clear" w:pos="720"/>
                <w:tab w:val="left" w:pos="0" w:leader="none"/>
              </w:tabs>
              <w:ind w:hanging="283" w:left="709"/>
              <w:rPr/>
            </w:pPr>
            <w:r>
              <w:rPr/>
              <w:t>Cloud Platforms: Azure (primary), AWS (secondary), Vmware in Cloud too</w:t>
            </w:r>
          </w:p>
          <w:p>
            <w:pPr>
              <w:pStyle w:val="BodyText"/>
              <w:numPr>
                <w:ilvl w:val="0"/>
                <w:numId w:val="2"/>
              </w:numPr>
              <w:tabs>
                <w:tab w:val="clear" w:pos="720"/>
                <w:tab w:val="left" w:pos="0" w:leader="none"/>
              </w:tabs>
              <w:ind w:hanging="283" w:left="709"/>
              <w:rPr/>
            </w:pPr>
            <w:r>
              <w:rPr/>
              <w:t>Data &amp; Analytics Enablers: Azure Databricks, DataFactory, Synapse, automated AI sandbox environments, PowerBI Integration, and secure data management environments with classification and labeling to support governed machine learning workloads.</w:t>
            </w:r>
          </w:p>
          <w:p>
            <w:pPr>
              <w:pStyle w:val="HorizontalLine"/>
              <w:rPr/>
            </w:pPr>
            <w:r>
              <w:rPr/>
            </w:r>
          </w:p>
          <w:p>
            <w:pPr>
              <w:pStyle w:val="BodyText"/>
              <w:rPr/>
            </w:pPr>
            <w:r>
              <w:rPr>
                <w:rStyle w:val="Strong"/>
              </w:rPr>
              <w:t>Professional Experience</w:t>
            </w:r>
          </w:p>
          <w:p>
            <w:pPr>
              <w:pStyle w:val="BodyText"/>
              <w:rPr/>
            </w:pPr>
            <w:r>
              <w:rPr>
                <w:rStyle w:val="Strong"/>
              </w:rPr>
              <w:t>Technology Architect</w:t>
            </w:r>
            <w:r>
              <w:rPr/>
              <w:br/>
            </w:r>
            <w:r>
              <w:rPr>
                <w:rStyle w:val="Emphasis"/>
              </w:rPr>
              <w:t>State of Indiana Office of Technology • Oct 2018 – Present</w:t>
            </w:r>
          </w:p>
          <w:p>
            <w:pPr>
              <w:pStyle w:val="BodyText"/>
              <w:numPr>
                <w:ilvl w:val="0"/>
                <w:numId w:val="3"/>
              </w:numPr>
              <w:tabs>
                <w:tab w:val="clear" w:pos="720"/>
                <w:tab w:val="left" w:pos="0" w:leader="none"/>
              </w:tabs>
              <w:ind w:hanging="283" w:left="709"/>
              <w:rPr/>
            </w:pPr>
            <w:r>
              <w:rPr/>
              <w:t>Directed modernization of legacy and vendor-supplied systems to support hybrid operations in Azure and AWS.</w:t>
            </w:r>
          </w:p>
          <w:p>
            <w:pPr>
              <w:pStyle w:val="BodyText"/>
              <w:numPr>
                <w:ilvl w:val="0"/>
                <w:numId w:val="3"/>
              </w:numPr>
              <w:tabs>
                <w:tab w:val="clear" w:pos="720"/>
                <w:tab w:val="left" w:pos="0" w:leader="none"/>
              </w:tabs>
              <w:ind w:hanging="283" w:left="709"/>
              <w:rPr/>
            </w:pPr>
            <w:r>
              <w:rPr/>
              <w:t>Established a state-wide SDLC Management program with integrated CI/CD and GitHub Enterprise Cloud for application governance and Azure DevOps for Boards and work item management.</w:t>
            </w:r>
          </w:p>
          <w:p>
            <w:pPr>
              <w:pStyle w:val="BodyText"/>
              <w:numPr>
                <w:ilvl w:val="0"/>
                <w:numId w:val="3"/>
              </w:numPr>
              <w:tabs>
                <w:tab w:val="clear" w:pos="720"/>
                <w:tab w:val="left" w:pos="0" w:leader="none"/>
              </w:tabs>
              <w:ind w:hanging="283" w:left="709"/>
              <w:rPr/>
            </w:pPr>
            <w:r>
              <w:rPr/>
              <w:t>Assisted in the implementation of performance-focused cloud platforms using telemetry and APM practices from the earliest stages of solution design.</w:t>
            </w:r>
          </w:p>
          <w:p>
            <w:pPr>
              <w:pStyle w:val="BodyText"/>
              <w:numPr>
                <w:ilvl w:val="0"/>
                <w:numId w:val="3"/>
              </w:numPr>
              <w:tabs>
                <w:tab w:val="clear" w:pos="720"/>
                <w:tab w:val="left" w:pos="0" w:leader="none"/>
              </w:tabs>
              <w:ind w:hanging="283" w:left="709"/>
              <w:rPr/>
            </w:pPr>
            <w:r>
              <w:rPr/>
              <w:t>Partnered with cybersecurity and compliance teams to align infrastructure with business security policies and operational needs.</w:t>
            </w:r>
          </w:p>
          <w:p>
            <w:pPr>
              <w:pStyle w:val="BodyText"/>
              <w:numPr>
                <w:ilvl w:val="0"/>
                <w:numId w:val="3"/>
              </w:numPr>
              <w:tabs>
                <w:tab w:val="clear" w:pos="720"/>
                <w:tab w:val="left" w:pos="0" w:leader="none"/>
              </w:tabs>
              <w:ind w:hanging="283" w:left="709"/>
              <w:rPr/>
            </w:pPr>
            <w:r>
              <w:rPr/>
              <w:t>Delivered cross-agency reporting tools, AI sandbox environments, and virtual desktop infrastructure at scale, contributing to pandemic continuity and long-term resilience.</w:t>
            </w:r>
          </w:p>
          <w:p>
            <w:pPr>
              <w:pStyle w:val="BodyText"/>
              <w:rPr>
                <w:rStyle w:val="Strong"/>
              </w:rPr>
            </w:pPr>
            <w:r>
              <w:rPr/>
            </w:r>
          </w:p>
          <w:p>
            <w:pPr>
              <w:pStyle w:val="BodyText"/>
              <w:rPr>
                <w:rStyle w:val="Strong"/>
              </w:rPr>
            </w:pPr>
            <w:r>
              <w:rPr/>
            </w:r>
          </w:p>
          <w:p>
            <w:pPr>
              <w:pStyle w:val="BodyText"/>
              <w:rPr>
                <w:rStyle w:val="Strong"/>
              </w:rPr>
            </w:pPr>
            <w:r>
              <w:rPr/>
            </w:r>
          </w:p>
          <w:p>
            <w:pPr>
              <w:pStyle w:val="BodyText"/>
              <w:rPr/>
            </w:pPr>
            <w:r>
              <w:rPr>
                <w:rStyle w:val="Strong"/>
              </w:rPr>
              <w:t>Cloud Applications &amp; Systems Engineering Manager</w:t>
            </w:r>
            <w:r>
              <w:rPr/>
              <w:br/>
            </w:r>
            <w:r>
              <w:rPr>
                <w:rStyle w:val="Emphasis"/>
              </w:rPr>
              <w:t>Aprimo (Teradata) • Dec 2015 – Apr 2018</w:t>
            </w:r>
          </w:p>
          <w:p>
            <w:pPr>
              <w:pStyle w:val="BodyText"/>
              <w:numPr>
                <w:ilvl w:val="0"/>
                <w:numId w:val="4"/>
              </w:numPr>
              <w:tabs>
                <w:tab w:val="clear" w:pos="720"/>
                <w:tab w:val="left" w:pos="0" w:leader="none"/>
              </w:tabs>
              <w:ind w:hanging="283" w:left="709"/>
              <w:rPr/>
            </w:pPr>
            <w:r>
              <w:rPr/>
              <w:t>Managed operations and development for 700+ application servers across global data centers and Azure.</w:t>
            </w:r>
          </w:p>
          <w:p>
            <w:pPr>
              <w:pStyle w:val="BodyText"/>
              <w:numPr>
                <w:ilvl w:val="0"/>
                <w:numId w:val="4"/>
              </w:numPr>
              <w:tabs>
                <w:tab w:val="clear" w:pos="720"/>
                <w:tab w:val="left" w:pos="0" w:leader="none"/>
              </w:tabs>
              <w:ind w:hanging="283" w:left="709"/>
              <w:rPr/>
            </w:pPr>
            <w:r>
              <w:rPr/>
              <w:t>Introduced App Insights instrumentation into core application lifecycles to support diagnostics and customer-facing performance metrics.</w:t>
            </w:r>
          </w:p>
          <w:p>
            <w:pPr>
              <w:pStyle w:val="BodyText"/>
              <w:numPr>
                <w:ilvl w:val="0"/>
                <w:numId w:val="4"/>
              </w:numPr>
              <w:tabs>
                <w:tab w:val="clear" w:pos="720"/>
                <w:tab w:val="left" w:pos="0" w:leader="none"/>
              </w:tabs>
              <w:ind w:hanging="283" w:left="709"/>
              <w:rPr/>
            </w:pPr>
            <w:r>
              <w:rPr/>
              <w:t>Designed and implemented disaster recovery, security controls, and cost visibility via PowerBI, resulting in enhanced service availability and reduced spend.</w:t>
            </w:r>
          </w:p>
          <w:p>
            <w:pPr>
              <w:pStyle w:val="BodyText"/>
              <w:numPr>
                <w:ilvl w:val="0"/>
                <w:numId w:val="4"/>
              </w:numPr>
              <w:tabs>
                <w:tab w:val="clear" w:pos="720"/>
                <w:tab w:val="left" w:pos="0" w:leader="none"/>
              </w:tabs>
              <w:ind w:hanging="283" w:left="709"/>
              <w:rPr/>
            </w:pPr>
            <w:r>
              <w:rPr/>
              <w:t>Delivered global hybrid application delivery architecture, transitioning from AWS to Azure for efficiency and operational maturity.</w:t>
            </w:r>
          </w:p>
          <w:p>
            <w:pPr>
              <w:pStyle w:val="BodyText"/>
              <w:rPr/>
            </w:pPr>
            <w:r>
              <w:rPr>
                <w:rStyle w:val="Strong"/>
              </w:rPr>
              <w:t>Earlier Career Highlights</w:t>
            </w:r>
          </w:p>
          <w:p>
            <w:pPr>
              <w:pStyle w:val="BodyText"/>
              <w:numPr>
                <w:ilvl w:val="0"/>
                <w:numId w:val="5"/>
              </w:numPr>
              <w:tabs>
                <w:tab w:val="clear" w:pos="720"/>
                <w:tab w:val="left" w:pos="0" w:leader="none"/>
              </w:tabs>
              <w:ind w:hanging="283" w:left="709"/>
              <w:rPr/>
            </w:pPr>
            <w:r>
              <w:rPr>
                <w:rStyle w:val="Strong"/>
              </w:rPr>
              <w:t>Lockheed Martin</w:t>
            </w:r>
            <w:r>
              <w:rPr/>
              <w:t xml:space="preserve"> – Senior System Administrator supporting Department of Homeland Security; built and led Tier 2 support team managing complex infrastructure operations and SLA-bound access provisioning.</w:t>
            </w:r>
          </w:p>
          <w:p>
            <w:pPr>
              <w:pStyle w:val="BodyText"/>
              <w:numPr>
                <w:ilvl w:val="0"/>
                <w:numId w:val="5"/>
              </w:numPr>
              <w:tabs>
                <w:tab w:val="clear" w:pos="720"/>
                <w:tab w:val="left" w:pos="0" w:leader="none"/>
              </w:tabs>
              <w:ind w:hanging="283" w:left="709"/>
              <w:rPr/>
            </w:pPr>
            <w:r>
              <w:rPr>
                <w:rStyle w:val="Strong"/>
              </w:rPr>
              <w:t>MISO / Entergy</w:t>
            </w:r>
            <w:r>
              <w:rPr/>
              <w:t xml:space="preserve"> – Open Access Transmission Tariff Administrator ensuring compliance and operational readiness of bulk electric grid transition, including multimillion-dollar service request evaluations.</w:t>
            </w:r>
          </w:p>
          <w:p>
            <w:pPr>
              <w:pStyle w:val="BodyText"/>
              <w:numPr>
                <w:ilvl w:val="0"/>
                <w:numId w:val="5"/>
              </w:numPr>
              <w:tabs>
                <w:tab w:val="clear" w:pos="720"/>
                <w:tab w:val="left" w:pos="0" w:leader="none"/>
              </w:tabs>
              <w:ind w:hanging="283" w:left="709"/>
              <w:rPr/>
            </w:pPr>
            <w:r>
              <w:rPr>
                <w:rStyle w:val="Strong"/>
              </w:rPr>
              <w:t>Teradata / Aprimo</w:t>
            </w:r>
            <w:r>
              <w:rPr/>
              <w:t xml:space="preserve"> – Various roles in cloud engineering, systems automation, and operations leadership; reduced patching cycles, improved telemetry instrumentation, and developed monitoring utilities supporting global SaaS operations.</w:t>
            </w:r>
          </w:p>
          <w:p>
            <w:pPr>
              <w:pStyle w:val="BodyText"/>
              <w:numPr>
                <w:ilvl w:val="0"/>
                <w:numId w:val="5"/>
              </w:numPr>
              <w:tabs>
                <w:tab w:val="clear" w:pos="720"/>
                <w:tab w:val="left" w:pos="0" w:leader="none"/>
              </w:tabs>
              <w:ind w:hanging="283" w:left="709"/>
              <w:rPr/>
            </w:pPr>
            <w:r>
              <w:rPr>
                <w:rStyle w:val="Strong"/>
              </w:rPr>
              <w:t>United States Marine Corps</w:t>
            </w:r>
            <w:r>
              <w:rPr/>
              <w:t xml:space="preserve"> – Tactical Data Systems Administrator (MOS 5974): Managed and secured classified systems supporting Theater Battle Management Core Systems (TBMCS) and Common Aviation Command and Control Systems (CAC2S). Specialized in secure network design, system interoperability, and joint-force tactical communications. Held Secret security clearance and served in both garrison and operational environments with responsibilities spanning infrastructure readiness, message routing, and tactical data link analysis.</w:t>
            </w:r>
          </w:p>
          <w:p>
            <w:pPr>
              <w:pStyle w:val="HorizontalLine"/>
              <w:rPr/>
            </w:pPr>
            <w:r>
              <w:rPr/>
            </w:r>
          </w:p>
          <w:p>
            <w:pPr>
              <w:pStyle w:val="BodyText"/>
              <w:rPr/>
            </w:pPr>
            <w:r>
              <w:rPr>
                <w:rStyle w:val="Strong"/>
              </w:rPr>
              <w:t>Active Certifications</w:t>
            </w:r>
          </w:p>
          <w:p>
            <w:pPr>
              <w:pStyle w:val="BodyText"/>
              <w:numPr>
                <w:ilvl w:val="0"/>
                <w:numId w:val="6"/>
              </w:numPr>
              <w:tabs>
                <w:tab w:val="clear" w:pos="720"/>
                <w:tab w:val="left" w:pos="0" w:leader="none"/>
              </w:tabs>
              <w:ind w:hanging="283" w:left="709"/>
              <w:rPr/>
            </w:pPr>
            <w:r>
              <w:rPr/>
              <w:t>Microsoft Certified: Azure Solutions Architect Expert</w:t>
            </w:r>
          </w:p>
          <w:p>
            <w:pPr>
              <w:pStyle w:val="BodyText"/>
              <w:numPr>
                <w:ilvl w:val="0"/>
                <w:numId w:val="6"/>
              </w:numPr>
              <w:tabs>
                <w:tab w:val="clear" w:pos="720"/>
                <w:tab w:val="left" w:pos="0" w:leader="none"/>
              </w:tabs>
              <w:ind w:hanging="283" w:left="709"/>
              <w:rPr/>
            </w:pPr>
            <w:r>
              <w:rPr/>
              <w:t>Microsoft Certified: Azure AI Engineer Associate</w:t>
            </w:r>
          </w:p>
          <w:p>
            <w:pPr>
              <w:pStyle w:val="BodyText"/>
              <w:numPr>
                <w:ilvl w:val="0"/>
                <w:numId w:val="6"/>
              </w:numPr>
              <w:tabs>
                <w:tab w:val="clear" w:pos="720"/>
                <w:tab w:val="left" w:pos="0" w:leader="none"/>
              </w:tabs>
              <w:ind w:hanging="283" w:left="709"/>
              <w:rPr/>
            </w:pPr>
            <w:r>
              <w:rPr/>
              <w:t>Microsoft Certified: Azure AI Fundamentals</w:t>
            </w:r>
          </w:p>
          <w:p>
            <w:pPr>
              <w:pStyle w:val="BodyText"/>
              <w:numPr>
                <w:ilvl w:val="0"/>
                <w:numId w:val="6"/>
              </w:numPr>
              <w:tabs>
                <w:tab w:val="clear" w:pos="720"/>
                <w:tab w:val="left" w:pos="0" w:leader="none"/>
              </w:tabs>
              <w:ind w:hanging="283" w:left="709"/>
              <w:rPr/>
            </w:pPr>
            <w:r>
              <w:rPr/>
              <w:t>Microsoft Certified: Azure Data Scientist Associate</w:t>
            </w:r>
          </w:p>
          <w:p>
            <w:pPr>
              <w:pStyle w:val="HorizontalLine"/>
              <w:rPr/>
            </w:pPr>
            <w:r>
              <w:rPr/>
            </w:r>
          </w:p>
          <w:p>
            <w:pPr>
              <w:pStyle w:val="BodyText"/>
              <w:rPr/>
            </w:pPr>
            <w:r>
              <w:rPr>
                <w:rStyle w:val="Strong"/>
              </w:rPr>
              <w:t>Education</w:t>
            </w:r>
          </w:p>
          <w:p>
            <w:pPr>
              <w:pStyle w:val="BodyText"/>
              <w:numPr>
                <w:ilvl w:val="0"/>
                <w:numId w:val="7"/>
              </w:numPr>
              <w:tabs>
                <w:tab w:val="clear" w:pos="720"/>
                <w:tab w:val="left" w:pos="0" w:leader="none"/>
              </w:tabs>
              <w:ind w:hanging="283" w:left="709"/>
              <w:rPr/>
            </w:pPr>
            <w:r>
              <w:rPr/>
              <w:t>Western Governors University – BS IT - Security Emphasis (incomplete, 4 classes remaining)</w:t>
            </w:r>
          </w:p>
          <w:p>
            <w:pPr>
              <w:pStyle w:val="Normal"/>
              <w:snapToGrid w:val="false"/>
              <w:spacing w:lineRule="auto" w:line="240" w:before="0" w:after="0"/>
              <w:rPr>
                <w:sz w:val="20"/>
                <w:szCs w:val="20"/>
              </w:rPr>
            </w:pPr>
            <w:r>
              <w:rPr>
                <w:sz w:val="20"/>
                <w:szCs w:val="20"/>
              </w:rPr>
            </w:r>
          </w:p>
        </w:tc>
      </w:tr>
    </w:tbl>
    <w:p>
      <w:pPr>
        <w:pStyle w:val="Normal"/>
        <w:widowControl/>
        <w:suppressAutoHyphens w:val="true"/>
        <w:bidi w:val="0"/>
        <w:spacing w:lineRule="auto" w:line="276" w:before="0" w:after="200"/>
        <w:jc w:val="left"/>
        <w:rPr/>
      </w:pPr>
      <w:r>
        <w:rPr/>
      </w:r>
    </w:p>
    <w:sectPr>
      <w:type w:val="nextPage"/>
      <w:pgSz w:w="12240" w:h="15840"/>
      <w:pgMar w:left="720" w:right="720" w:gutter="0" w:header="0" w:top="720" w:footer="0"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swiss"/>
    <w:pitch w:val="variable"/>
  </w:font>
  <w:font w:name="Symbol">
    <w:charset w:val="00"/>
    <w:family w:val="roman"/>
    <w:pitch w:val="variable"/>
  </w:font>
  <w:font w:name="OpenSymbol">
    <w:altName w:val="Arial Unicode MS"/>
    <w:charset w:val="00"/>
    <w:family w:val="roman"/>
    <w:pitch w:val="variable"/>
  </w:font>
  <w:font w:name="Liberation Sans">
    <w:altName w:val="Arial"/>
    <w:charset w:val="00"/>
    <w:family w:val="swiss"/>
    <w:pitch w:val="variable"/>
  </w:font>
  <w:font w:name="Century Gothic">
    <w:charset w:val="0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200"/>
      <w:jc w:val="left"/>
    </w:pPr>
    <w:rPr>
      <w:rFonts w:ascii="Calibri" w:hAnsi="Calibri" w:eastAsia="Calibri" w:cs="Times New Roman"/>
      <w:color w:val="auto"/>
      <w:kern w:val="0"/>
      <w:sz w:val="22"/>
      <w:szCs w:val="22"/>
      <w:lang w:val="en-US" w:eastAsia="en-US" w:bidi="ar-SA"/>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spacing w:before="140" w:after="120"/>
      <w:outlineLvl w:val="2"/>
    </w:pPr>
    <w:rPr>
      <w:rFonts w:ascii="Liberation Serif" w:hAnsi="Liberation Serif" w:eastAsia="Segoe UI" w:cs="Tahoma"/>
      <w:b/>
      <w:bCs/>
      <w:sz w:val="28"/>
      <w:szCs w:val="28"/>
    </w:rPr>
  </w:style>
  <w:style w:type="character" w:styleId="DefaultParagraphFont" w:default="1">
    <w:name w:val="Default Paragraph Font"/>
    <w:uiPriority w:val="1"/>
    <w:semiHidden/>
    <w:unhideWhenUsed/>
    <w:qFormat/>
    <w:rPr/>
  </w:style>
  <w:style w:type="character" w:styleId="WW8Num1z0" w:customStyle="1">
    <w:name w:val="WW8Num1z0"/>
    <w:qFormat/>
    <w:rPr>
      <w:rFonts w:ascii="Symbol" w:hAnsi="Symbol" w:eastAsia="Calibri" w:cs="OpenSymbol"/>
    </w:rPr>
  </w:style>
  <w:style w:type="character" w:styleId="WW8Num1z1" w:customStyle="1">
    <w:name w:val="WW8Num1z1"/>
    <w:qFormat/>
    <w:rPr>
      <w:rFonts w:ascii="OpenSymbol" w:hAnsi="OpenSymbol" w:cs="OpenSymbol"/>
    </w:rPr>
  </w:style>
  <w:style w:type="character" w:styleId="WW8Num2z0" w:customStyle="1">
    <w:name w:val="WW8Num2z0"/>
    <w:qFormat/>
    <w:rPr/>
  </w:style>
  <w:style w:type="character" w:styleId="WW8Num2z1" w:customStyle="1">
    <w:name w:val="WW8Num2z1"/>
    <w:qFormat/>
    <w:rPr/>
  </w:style>
  <w:style w:type="character" w:styleId="WW8Num2z2" w:customStyle="1">
    <w:name w:val="WW8Num2z2"/>
    <w:qFormat/>
    <w:rPr/>
  </w:style>
  <w:style w:type="character" w:styleId="WW8Num2z3" w:customStyle="1">
    <w:name w:val="WW8Num2z3"/>
    <w:qFormat/>
    <w:rPr/>
  </w:style>
  <w:style w:type="character" w:styleId="WW8Num2z4" w:customStyle="1">
    <w:name w:val="WW8Num2z4"/>
    <w:qFormat/>
    <w:rPr/>
  </w:style>
  <w:style w:type="character" w:styleId="WW8Num2z5" w:customStyle="1">
    <w:name w:val="WW8Num2z5"/>
    <w:qFormat/>
    <w:rPr/>
  </w:style>
  <w:style w:type="character" w:styleId="WW8Num2z6" w:customStyle="1">
    <w:name w:val="WW8Num2z6"/>
    <w:qFormat/>
    <w:rPr/>
  </w:style>
  <w:style w:type="character" w:styleId="WW8Num2z7" w:customStyle="1">
    <w:name w:val="WW8Num2z7"/>
    <w:qFormat/>
    <w:rPr/>
  </w:style>
  <w:style w:type="character" w:styleId="WW8Num2z8" w:customStyle="1">
    <w:name w:val="WW8Num2z8"/>
    <w:qFormat/>
    <w:rPr/>
  </w:style>
  <w:style w:type="character" w:styleId="Hyperlink">
    <w:name w:val="Hyperlink"/>
    <w:rPr>
      <w:color w:val="0000FF"/>
      <w:u w:val="single"/>
    </w:rPr>
  </w:style>
  <w:style w:type="character" w:styleId="HeaderChar" w:customStyle="1">
    <w:name w:val="Header Char"/>
    <w:qFormat/>
    <w:rPr>
      <w:sz w:val="22"/>
      <w:szCs w:val="22"/>
    </w:rPr>
  </w:style>
  <w:style w:type="character" w:styleId="FooterChar" w:customStyle="1">
    <w:name w:val="Footer Char"/>
    <w:qFormat/>
    <w:rPr>
      <w:sz w:val="22"/>
      <w:szCs w:val="22"/>
    </w:rPr>
  </w:style>
  <w:style w:type="character" w:styleId="PlainTextChar" w:customStyle="1">
    <w:name w:val="Plain Text Char"/>
    <w:qFormat/>
    <w:rPr>
      <w:sz w:val="22"/>
      <w:szCs w:val="21"/>
    </w:rPr>
  </w:style>
  <w:style w:type="character" w:styleId="Bullets" w:customStyle="1">
    <w:name w:val="Bullets"/>
    <w:qFormat/>
    <w:rPr>
      <w:rFonts w:ascii="OpenSymbol" w:hAnsi="OpenSymbol" w:eastAsia="OpenSymbol" w:cs="OpenSymbol"/>
    </w:rPr>
  </w:style>
  <w:style w:type="character" w:styleId="Strong">
    <w:name w:val="Strong"/>
    <w:qFormat/>
    <w:rPr>
      <w:b/>
      <w:bCs/>
    </w:rPr>
  </w:style>
  <w:style w:type="character" w:styleId="Emphasis">
    <w:name w:val="Emphasis"/>
    <w:qFormat/>
    <w:rPr>
      <w:i/>
      <w:iCs/>
    </w:rPr>
  </w:style>
  <w:style w:type="paragraph" w:styleId="Heading" w:customStyle="1">
    <w:name w:val="Heading"/>
    <w:basedOn w:val="Normal"/>
    <w:next w:val="BodyText"/>
    <w:qFormat/>
    <w:pPr>
      <w:keepNext w:val="true"/>
      <w:spacing w:before="240" w:after="120"/>
    </w:pPr>
    <w:rPr>
      <w:rFonts w:ascii="Liberation Sans" w:hAnsi="Liberation Sans" w:eastAsia="Noto Sans CJK SC Regular" w:cs="Lohit Devanagari"/>
      <w:sz w:val="28"/>
      <w:szCs w:val="28"/>
    </w:rPr>
  </w:style>
  <w:style w:type="paragraph" w:styleId="BodyText">
    <w:name w:val="Body Text"/>
    <w:basedOn w:val="Normal"/>
    <w:pPr>
      <w:spacing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customStyle="1">
    <w:name w:val="Index"/>
    <w:basedOn w:val="Normal"/>
    <w:qFormat/>
    <w:pPr>
      <w:suppressLineNumbers/>
    </w:pPr>
    <w:rPr>
      <w:rFonts w:cs="Lohit Devanagari"/>
    </w:rPr>
  </w:style>
  <w:style w:type="paragraph" w:styleId="HeaderandFooter">
    <w:name w:val="Header and Footer"/>
    <w:basedOn w:val="Normal"/>
    <w:qFormat/>
    <w:pPr/>
    <w:rPr/>
  </w:style>
  <w:style w:type="paragraph" w:styleId="Footer">
    <w:name w:val="footer"/>
    <w:basedOn w:val="Normal"/>
    <w:pPr>
      <w:tabs>
        <w:tab w:val="clear" w:pos="720"/>
        <w:tab w:val="center" w:pos="4680" w:leader="none"/>
        <w:tab w:val="right" w:pos="9360" w:leader="none"/>
      </w:tabs>
      <w:spacing w:lineRule="auto" w:line="240" w:before="0" w:after="0"/>
    </w:pPr>
    <w:rPr/>
  </w:style>
  <w:style w:type="paragraph" w:styleId="Header">
    <w:name w:val="header"/>
    <w:basedOn w:val="Normal"/>
    <w:pPr>
      <w:tabs>
        <w:tab w:val="clear" w:pos="720"/>
        <w:tab w:val="center" w:pos="4680" w:leader="none"/>
        <w:tab w:val="right" w:pos="9360" w:leader="none"/>
      </w:tabs>
      <w:spacing w:lineRule="auto" w:line="240" w:before="0" w:after="0"/>
    </w:pPr>
    <w:rPr/>
  </w:style>
  <w:style w:type="paragraph" w:styleId="PlainText">
    <w:name w:val="Plain Text"/>
    <w:basedOn w:val="Normal"/>
    <w:qFormat/>
    <w:pPr>
      <w:spacing w:lineRule="auto" w:line="240" w:before="0" w:after="0"/>
    </w:pPr>
    <w:rPr>
      <w:szCs w:val="21"/>
    </w:rPr>
  </w:style>
  <w:style w:type="paragraph" w:styleId="TableContents" w:customStyle="1">
    <w:name w:val="Table Contents"/>
    <w:basedOn w:val="Normal"/>
    <w:qFormat/>
    <w:pPr>
      <w:suppressLineNumbers/>
    </w:pPr>
    <w:rPr/>
  </w:style>
  <w:style w:type="paragraph" w:styleId="TableHeading" w:customStyle="1">
    <w:name w:val="Table Heading"/>
    <w:basedOn w:val="TableContents"/>
    <w:qFormat/>
    <w:pPr>
      <w:jc w:val="center"/>
    </w:pPr>
    <w:rPr>
      <w:b/>
      <w:bC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rjmcvey2013@gmail.com"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159</TotalTime>
  <Application>LibreOffice/24.8.7.2$Windows_X86_64 LibreOffice_project/e07d0a63a46349d29051da79b1fde8160bab2a89</Application>
  <AppVersion>15.0000</AppVersion>
  <Pages>3</Pages>
  <Words>832</Words>
  <Characters>5564</Characters>
  <CharactersWithSpaces>6548</CharactersWithSpaces>
  <Paragraphs>46</Paragraphs>
  <Company>MISO</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2023-10-30T23:47:00Z</dcterms:created>
  <dc:creator>Base</dc:creator>
  <dc:description/>
  <dc:language>en-US</dc:language>
  <cp:lastModifiedBy/>
  <cp:lastPrinted>2025-02-19T07:46:24Z</cp:lastPrinted>
  <dcterms:modified xsi:type="dcterms:W3CDTF">2025-06-24T17:06:30Z</dcterms:modified>
  <cp:revision>20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1033-10.1.0.5671</vt:lpwstr>
  </property>
  <property fmtid="{D5CDD505-2E9C-101B-9397-08002B2CF9AE}" pid="3" name="LinksUpToDate">
    <vt:bool>0</vt:bool>
  </property>
  <property fmtid="{D5CDD505-2E9C-101B-9397-08002B2CF9AE}" pid="4" name="ScaleCrop">
    <vt:bool>0</vt:bool>
  </property>
  <property fmtid="{D5CDD505-2E9C-101B-9397-08002B2CF9AE}" pid="5" name="_TemplateID">
    <vt:lpwstr>TC300031009990</vt:lpwstr>
  </property>
</Properties>
</file>