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I’ve read through your paper</w:t>
      </w:r>
      <w:r>
        <w:t xml:space="preserve"> </w:t>
      </w:r>
      <w:r>
        <w:rPr>
          <w:b/>
          <w:bCs/>
        </w:rPr>
        <w:t xml:space="preserve">“Intelligent Conversation and Context Management”</w:t>
      </w:r>
      <w:r>
        <w:drawing>
          <wp:inline>
            <wp:extent cx="190500" cy="190500"/>
            <wp:effectExtent b="0" l="0" r="0" t="0"/>
            <wp:docPr descr="" title="" id="21" name="Picture"/>
            <a:graphic>
              <a:graphicData uri="http://schemas.openxmlformats.org/drawingml/2006/picture">
                <pic:pic>
                  <pic:nvPicPr>
                    <pic:cNvPr descr="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"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190500" cy="190500"/>
                    </a:xfrm>
                    <a:prstGeom prst="rect">
                      <a:avLst/>
                    </a:prstGeom>
                    <a:noFill/>
                    <a:ln w="9525">
                      <a:noFill/>
                      <a:headEnd/>
                      <a:tailEnd/>
                    </a:ln>
                  </pic:spPr>
                </pic:pic>
              </a:graphicData>
            </a:graphic>
          </wp:inline>
        </w:drawing>
      </w:r>
    </w:p>
    <w:p>
      <w:pPr>
        <w:pStyle w:val="BodyText"/>
      </w:pPr>
      <w:r>
        <w:t xml:space="preserve">intelligent_context_management_…</w:t>
      </w:r>
    </w:p>
    <w:p>
      <w:pPr>
        <w:pStyle w:val="BodyText"/>
      </w:pPr>
      <w:r>
        <w:t xml:space="preserve">. Here’s structured feedback to help you refine it:</w:t>
      </w:r>
    </w:p>
    <w:p>
      <w:r>
        <w:pict>
          <v:rect style="width:0;height:1.5pt" o:hralign="center" o:hrstd="t" o:hr="t"/>
        </w:pict>
      </w:r>
    </w:p>
    <w:p>
      <w:pPr>
        <w:pStyle w:val="Heading2"/>
      </w:pPr>
      <w:r>
        <w:rPr>
          <w:b/>
          <w:bCs/>
        </w:rPr>
        <w:t xml:space="preserve">Strengths</w:t>
      </w:r>
    </w:p>
    <w:p>
      <w:pPr>
        <w:numPr>
          <w:ilvl w:val="0"/>
          <w:numId w:val="1001"/>
        </w:numPr>
      </w:pPr>
      <w:r>
        <w:rPr>
          <w:b/>
          <w:bCs/>
        </w:rPr>
        <w:t xml:space="preserve">Clear progression of ideas</w:t>
      </w:r>
      <w:r>
        <w:t xml:space="preserve"> </w:t>
      </w:r>
      <w:r>
        <w:t xml:space="preserve">– You take the reader from the philosophical roots of conversation, through the limits of documentation, to the technical solution of SPTs (specialized prompt transformers). The flow is logical and easy to follow.</w:t>
      </w:r>
    </w:p>
    <w:p>
      <w:pPr>
        <w:numPr>
          <w:ilvl w:val="0"/>
          <w:numId w:val="1001"/>
        </w:numPr>
      </w:pPr>
      <w:r>
        <w:rPr>
          <w:b/>
          <w:bCs/>
        </w:rPr>
        <w:t xml:space="preserve">Engaging analogies</w:t>
      </w:r>
      <w:r>
        <w:t xml:space="preserve"> </w:t>
      </w:r>
      <w:r>
        <w:t xml:space="preserve">– The references to inner dialog, angel/devil metaphors, and human memory frames make the technical material more relatable.</w:t>
      </w:r>
    </w:p>
    <w:p>
      <w:pPr>
        <w:numPr>
          <w:ilvl w:val="0"/>
          <w:numId w:val="1001"/>
        </w:numPr>
      </w:pPr>
      <w:r>
        <w:rPr>
          <w:b/>
          <w:bCs/>
        </w:rPr>
        <w:t xml:space="preserve">Strong technical vision</w:t>
      </w:r>
      <w:r>
        <w:t xml:space="preserve"> </w:t>
      </w:r>
      <w:r>
        <w:t xml:space="preserve">– The proposed system for dynamic context generation and SPTs is well thought out, with step-by-step processes for classification, storage, retrieval, and training.</w:t>
      </w:r>
    </w:p>
    <w:p>
      <w:pPr>
        <w:numPr>
          <w:ilvl w:val="0"/>
          <w:numId w:val="1001"/>
        </w:numPr>
      </w:pPr>
      <w:r>
        <w:rPr>
          <w:b/>
          <w:bCs/>
        </w:rPr>
        <w:t xml:space="preserve">Breadth of perspective</w:t>
      </w:r>
      <w:r>
        <w:t xml:space="preserve"> </w:t>
      </w:r>
      <w:r>
        <w:t xml:space="preserve">– You successfully connect cognitive science, AI architecture, and practical coding workflows, which makes the work interdisciplinary and appealing to a broad audience.</w:t>
      </w:r>
    </w:p>
    <w:p>
      <w:r>
        <w:pict>
          <v:rect style="width:0;height:1.5pt" o:hralign="center" o:hrstd="t" o:hr="t"/>
        </w:pict>
      </w:r>
    </w:p>
    <w:p>
      <w:pPr>
        <w:pStyle w:val="Heading2"/>
      </w:pPr>
      <w:r>
        <w:rPr>
          <w:b/>
          <w:bCs/>
        </w:rPr>
        <w:t xml:space="preserve">Areas to Improve</w:t>
      </w:r>
    </w:p>
    <w:p>
      <w:pPr>
        <w:pStyle w:val="Heading3"/>
      </w:pPr>
      <w:r>
        <w:t xml:space="preserve">1.</w:t>
      </w:r>
      <w:r>
        <w:t xml:space="preserve"> </w:t>
      </w:r>
      <w:r>
        <w:rPr>
          <w:b/>
          <w:bCs/>
        </w:rPr>
        <w:t xml:space="preserve">Clarity and Conciseness</w:t>
      </w:r>
    </w:p>
    <w:p>
      <w:pPr>
        <w:numPr>
          <w:ilvl w:val="0"/>
          <w:numId w:val="1002"/>
        </w:numPr>
      </w:pPr>
      <w:r>
        <w:t xml:space="preserve">Some sections are wordy and could be tightened without losing meaning. For example:</w:t>
      </w:r>
    </w:p>
    <w:p>
      <w:pPr>
        <w:numPr>
          <w:ilvl w:val="1"/>
          <w:numId w:val="1003"/>
        </w:numPr>
      </w:pPr>
      <w:r>
        <w:rPr>
          <w:i/>
          <w:iCs/>
        </w:rPr>
        <w:t xml:space="preserve">“GPTs and human brains are largely sophisticated guessing machines with which we can apply the concepts of context and attention similarly to both”</w:t>
      </w:r>
      <w:r>
        <w:t xml:space="preserve"> </w:t>
      </w:r>
      <w:r>
        <w:t xml:space="preserve">could be simplified to</w:t>
      </w:r>
      <w:r>
        <w:t xml:space="preserve"> </w:t>
      </w:r>
      <w:r>
        <w:rPr>
          <w:i/>
          <w:iCs/>
        </w:rPr>
        <w:t xml:space="preserve">“Both GPTs and human brains are sophisticated guessing machines, applying context and attention in similar ways.”</w:t>
      </w:r>
    </w:p>
    <w:p>
      <w:pPr>
        <w:numPr>
          <w:ilvl w:val="0"/>
          <w:numId w:val="1002"/>
        </w:numPr>
      </w:pPr>
      <w:r>
        <w:t xml:space="preserve">Cutting down repetition (e.g., context windows as system limitations are explained multiple times in slightly different ways) would make the paper sharper.</w:t>
      </w:r>
    </w:p>
    <w:p>
      <w:pPr>
        <w:pStyle w:val="Heading3"/>
      </w:pPr>
      <w:r>
        <w:t xml:space="preserve">2.</w:t>
      </w:r>
      <w:r>
        <w:t xml:space="preserve"> </w:t>
      </w:r>
      <w:r>
        <w:rPr>
          <w:b/>
          <w:bCs/>
        </w:rPr>
        <w:t xml:space="preserve">Terminology</w:t>
      </w:r>
    </w:p>
    <w:p>
      <w:pPr>
        <w:numPr>
          <w:ilvl w:val="0"/>
          <w:numId w:val="1004"/>
        </w:numPr>
      </w:pPr>
      <w:r>
        <w:t xml:space="preserve">You use</w:t>
      </w:r>
      <w:r>
        <w:t xml:space="preserve"> </w:t>
      </w:r>
      <w:r>
        <w:rPr>
          <w:b/>
          <w:bCs/>
        </w:rPr>
        <w:t xml:space="preserve">SPT</w:t>
      </w:r>
      <w:r>
        <w:t xml:space="preserve"> </w:t>
      </w:r>
      <w:r>
        <w:t xml:space="preserve">but only once explain it as “specialized GPT.” Standardize the acronym early and repeat its definition to avoid confusion.</w:t>
      </w:r>
    </w:p>
    <w:p>
      <w:pPr>
        <w:numPr>
          <w:ilvl w:val="0"/>
          <w:numId w:val="1004"/>
        </w:numPr>
      </w:pPr>
      <w:r>
        <w:t xml:space="preserve">Terms like “boosted content,” “draft context,” and “attention score” are intuitive but could benefit from tighter definitions or a glossary.</w:t>
      </w:r>
    </w:p>
    <w:p>
      <w:pPr>
        <w:pStyle w:val="Heading3"/>
      </w:pPr>
      <w:r>
        <w:t xml:space="preserve">3.</w:t>
      </w:r>
      <w:r>
        <w:t xml:space="preserve"> </w:t>
      </w:r>
      <w:r>
        <w:rPr>
          <w:b/>
          <w:bCs/>
        </w:rPr>
        <w:t xml:space="preserve">Examples</w:t>
      </w:r>
    </w:p>
    <w:p>
      <w:pPr>
        <w:numPr>
          <w:ilvl w:val="0"/>
          <w:numId w:val="1005"/>
        </w:numPr>
      </w:pPr>
      <w:r>
        <w:t xml:space="preserve">The</w:t>
      </w:r>
      <w:r>
        <w:t xml:space="preserve"> </w:t>
      </w:r>
      <w:r>
        <w:rPr>
          <w:b/>
          <w:bCs/>
        </w:rPr>
        <w:t xml:space="preserve">software coding conversation example</w:t>
      </w:r>
      <w:r>
        <w:t xml:space="preserve"> </w:t>
      </w:r>
      <w:r>
        <w:t xml:space="preserve">is strong, but a second example in a non-technical domain (e.g., healthcare or legal research) would broaden the paper’s relevance and strengthen its case.</w:t>
      </w:r>
    </w:p>
    <w:p>
      <w:pPr>
        <w:pStyle w:val="Heading3"/>
      </w:pPr>
      <w:r>
        <w:t xml:space="preserve">4.</w:t>
      </w:r>
      <w:r>
        <w:t xml:space="preserve"> </w:t>
      </w:r>
      <w:r>
        <w:rPr>
          <w:b/>
          <w:bCs/>
        </w:rPr>
        <w:t xml:space="preserve">Structure</w:t>
      </w:r>
    </w:p>
    <w:p>
      <w:pPr>
        <w:numPr>
          <w:ilvl w:val="0"/>
          <w:numId w:val="1006"/>
        </w:numPr>
      </w:pPr>
      <w:r>
        <w:t xml:space="preserve">The paper could benefit from:</w:t>
      </w:r>
    </w:p>
    <w:p>
      <w:pPr>
        <w:numPr>
          <w:ilvl w:val="1"/>
          <w:numId w:val="1007"/>
        </w:numPr>
      </w:pPr>
      <w:r>
        <w:t xml:space="preserve">A short</w:t>
      </w:r>
      <w:r>
        <w:t xml:space="preserve"> </w:t>
      </w:r>
      <w:r>
        <w:rPr>
          <w:b/>
          <w:bCs/>
        </w:rPr>
        <w:t xml:space="preserve">abstract</w:t>
      </w:r>
      <w:r>
        <w:t xml:space="preserve"> </w:t>
      </w:r>
      <w:r>
        <w:t xml:space="preserve">up front summarizing the problem and solution in ~150 words.</w:t>
      </w:r>
    </w:p>
    <w:p>
      <w:pPr>
        <w:numPr>
          <w:ilvl w:val="1"/>
          <w:numId w:val="1007"/>
        </w:numPr>
      </w:pPr>
      <w:r>
        <w:t xml:space="preserve">A</w:t>
      </w:r>
      <w:r>
        <w:t xml:space="preserve"> </w:t>
      </w:r>
      <w:r>
        <w:rPr>
          <w:b/>
          <w:bCs/>
        </w:rPr>
        <w:t xml:space="preserve">conclusion/future directions</w:t>
      </w:r>
      <w:r>
        <w:t xml:space="preserve"> </w:t>
      </w:r>
      <w:r>
        <w:t xml:space="preserve">section tying everything together and pointing to research or productization paths.</w:t>
      </w:r>
    </w:p>
    <w:p>
      <w:pPr>
        <w:pStyle w:val="Heading3"/>
      </w:pPr>
      <w:r>
        <w:t xml:space="preserve">5.</w:t>
      </w:r>
      <w:r>
        <w:t xml:space="preserve"> </w:t>
      </w:r>
      <w:r>
        <w:rPr>
          <w:b/>
          <w:bCs/>
        </w:rPr>
        <w:t xml:space="preserve">Style</w:t>
      </w:r>
    </w:p>
    <w:p>
      <w:pPr>
        <w:numPr>
          <w:ilvl w:val="0"/>
          <w:numId w:val="1008"/>
        </w:numPr>
      </w:pPr>
      <w:r>
        <w:t xml:space="preserve">At times, the tone shifts from academic to conversational (“Brilliant!” / “If you have never done this, you should”). Decide whether you want this paper to be</w:t>
      </w:r>
      <w:r>
        <w:t xml:space="preserve"> </w:t>
      </w:r>
      <w:r>
        <w:rPr>
          <w:b/>
          <w:bCs/>
        </w:rPr>
        <w:t xml:space="preserve">scholarly</w:t>
      </w:r>
      <w:r>
        <w:t xml:space="preserve"> </w:t>
      </w:r>
      <w:r>
        <w:t xml:space="preserve">(journal-style) or</w:t>
      </w:r>
      <w:r>
        <w:t xml:space="preserve"> </w:t>
      </w:r>
      <w:r>
        <w:rPr>
          <w:b/>
          <w:bCs/>
        </w:rPr>
        <w:t xml:space="preserve">thought-leadership</w:t>
      </w:r>
      <w:r>
        <w:t xml:space="preserve"> </w:t>
      </w:r>
      <w:r>
        <w:t xml:space="preserve">(blog/whitepaper). Right now it leans in between.</w:t>
      </w:r>
    </w:p>
    <w:p>
      <w:pPr>
        <w:numPr>
          <w:ilvl w:val="0"/>
          <w:numId w:val="1008"/>
        </w:numPr>
      </w:pPr>
      <w:r>
        <w:t xml:space="preserve">Consider trimming rhetorical asides to maintain professional polish, unless your target audience prefers a conversational voice.</w:t>
      </w:r>
    </w:p>
    <w:p>
      <w:r>
        <w:pict>
          <v:rect style="width:0;height:1.5pt" o:hralign="center" o:hrstd="t" o:hr="t"/>
        </w:pict>
      </w:r>
    </w:p>
    <w:p>
      <w:pPr>
        <w:pStyle w:val="Heading2"/>
      </w:pPr>
      <w:r>
        <w:rPr>
          <w:b/>
          <w:bCs/>
        </w:rPr>
        <w:t xml:space="preserve">Actionable Suggestions</w:t>
      </w:r>
    </w:p>
    <w:p>
      <w:pPr>
        <w:numPr>
          <w:ilvl w:val="0"/>
          <w:numId w:val="1009"/>
        </w:numPr>
      </w:pPr>
      <w:r>
        <w:t xml:space="preserve">Add an</w:t>
      </w:r>
      <w:r>
        <w:t xml:space="preserve"> </w:t>
      </w:r>
      <w:r>
        <w:rPr>
          <w:b/>
          <w:bCs/>
        </w:rPr>
        <w:t xml:space="preserve">abstract</w:t>
      </w:r>
      <w:r>
        <w:t xml:space="preserve"> </w:t>
      </w:r>
      <w:r>
        <w:t xml:space="preserve">and</w:t>
      </w:r>
      <w:r>
        <w:t xml:space="preserve"> </w:t>
      </w:r>
      <w:r>
        <w:rPr>
          <w:b/>
          <w:bCs/>
        </w:rPr>
        <w:t xml:space="preserve">conclusion</w:t>
      </w:r>
      <w:r>
        <w:t xml:space="preserve">.</w:t>
      </w:r>
    </w:p>
    <w:p>
      <w:pPr>
        <w:numPr>
          <w:ilvl w:val="0"/>
          <w:numId w:val="1009"/>
        </w:numPr>
      </w:pPr>
      <w:r>
        <w:t xml:space="preserve">Tighten redundant sentences, especially in</w:t>
      </w:r>
      <w:r>
        <w:t xml:space="preserve"> </w:t>
      </w:r>
      <w:r>
        <w:rPr>
          <w:i/>
          <w:iCs/>
        </w:rPr>
        <w:t xml:space="preserve">Context Windows as System Limitations</w:t>
      </w:r>
      <w:r>
        <w:t xml:space="preserve"> </w:t>
      </w:r>
      <w:r>
        <w:t xml:space="preserve">and</w:t>
      </w:r>
      <w:r>
        <w:t xml:space="preserve"> </w:t>
      </w:r>
      <w:r>
        <w:rPr>
          <w:i/>
          <w:iCs/>
        </w:rPr>
        <w:t xml:space="preserve">Learning from Human Memory</w:t>
      </w:r>
      <w:r>
        <w:t xml:space="preserve">.</w:t>
      </w:r>
    </w:p>
    <w:p>
      <w:pPr>
        <w:numPr>
          <w:ilvl w:val="0"/>
          <w:numId w:val="1009"/>
        </w:numPr>
      </w:pPr>
      <w:r>
        <w:t xml:space="preserve">Expand examples: one technical (you already have), one from another industry.</w:t>
      </w:r>
    </w:p>
    <w:p>
      <w:pPr>
        <w:numPr>
          <w:ilvl w:val="0"/>
          <w:numId w:val="1009"/>
        </w:numPr>
      </w:pPr>
      <w:r>
        <w:t xml:space="preserve">Create a</w:t>
      </w:r>
      <w:r>
        <w:t xml:space="preserve"> </w:t>
      </w:r>
      <w:r>
        <w:rPr>
          <w:b/>
          <w:bCs/>
        </w:rPr>
        <w:t xml:space="preserve">table/figure</w:t>
      </w:r>
      <w:r>
        <w:t xml:space="preserve"> </w:t>
      </w:r>
      <w:r>
        <w:t xml:space="preserve">summarizing the context generation process (steps 1–5), making it visually digestible.</w:t>
      </w:r>
    </w:p>
    <w:p>
      <w:pPr>
        <w:numPr>
          <w:ilvl w:val="0"/>
          <w:numId w:val="1009"/>
        </w:numPr>
      </w:pPr>
      <w:r>
        <w:t xml:space="preserve">Standardize acronyms/terms and consider a glossary for quick reference.</w:t>
      </w:r>
    </w:p>
    <w:p>
      <w:r>
        <w:pict>
          <v:rect style="width:0;height:1.5pt" o:hralign="center" o:hrstd="t" o:hr="t"/>
        </w:pict>
      </w:r>
    </w:p>
    <w:p>
      <w:pPr>
        <w:pStyle w:val="FirstParagraph"/>
      </w:pPr>
      <w:r>
        <w:t xml:space="preserve">Would you like me to</w:t>
      </w:r>
      <w:r>
        <w:t xml:space="preserve"> </w:t>
      </w:r>
      <w:r>
        <w:rPr>
          <w:b/>
          <w:bCs/>
        </w:rPr>
        <w:t xml:space="preserve">edit this into a tighter, more polished draft</w:t>
      </w:r>
      <w:r>
        <w:t xml:space="preserve"> </w:t>
      </w:r>
      <w:r>
        <w:t xml:space="preserve">(academic tone), or would you prefer I</w:t>
      </w:r>
      <w:r>
        <w:t xml:space="preserve"> </w:t>
      </w:r>
      <w:r>
        <w:rPr>
          <w:b/>
          <w:bCs/>
        </w:rPr>
        <w:t xml:space="preserve">preserve the conversational, thought-leadership style</w:t>
      </w:r>
      <w:r>
        <w:t xml:space="preserve"> </w:t>
      </w:r>
      <w:r>
        <w:t xml:space="preserve">and just restructure/clarify?</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2025-09-25T03:19:21Z</dcterms:created>
  <dcterms:modified xsi:type="dcterms:W3CDTF">2025-09-25T03:19:21Z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