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C2DA2" w14:textId="77777777" w:rsidR="003B7B1B" w:rsidRPr="003B7B1B" w:rsidRDefault="003B7B1B" w:rsidP="003B7B1B">
      <w:pPr>
        <w:spacing w:before="480" w:after="120" w:line="240" w:lineRule="auto"/>
        <w:outlineLvl w:val="0"/>
        <w:rPr>
          <w:rFonts w:ascii="Times New Roman" w:eastAsia="Times New Roman" w:hAnsi="Times New Roman" w:cs="Times New Roman"/>
          <w:b/>
          <w:bCs/>
          <w:kern w:val="36"/>
          <w:sz w:val="48"/>
          <w:szCs w:val="48"/>
          <w:lang w:eastAsia="en-GB"/>
        </w:rPr>
      </w:pPr>
      <w:r w:rsidRPr="003B7B1B">
        <w:rPr>
          <w:rFonts w:ascii="Arial" w:eastAsia="Times New Roman" w:hAnsi="Arial" w:cs="Arial"/>
          <w:b/>
          <w:bCs/>
          <w:color w:val="000000"/>
          <w:kern w:val="36"/>
          <w:sz w:val="30"/>
          <w:szCs w:val="30"/>
          <w:lang w:eastAsia="en-GB"/>
        </w:rPr>
        <w:t>Network and Information Security Management Assessment for e-commerce website</w:t>
      </w:r>
    </w:p>
    <w:p w14:paraId="799F6A54"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73BF077B" w14:textId="77777777" w:rsidR="003B7B1B" w:rsidRPr="003B7B1B" w:rsidRDefault="003B7B1B" w:rsidP="003B7B1B">
      <w:pPr>
        <w:spacing w:before="280" w:after="0" w:line="240" w:lineRule="auto"/>
        <w:jc w:val="both"/>
        <w:outlineLvl w:val="2"/>
        <w:rPr>
          <w:rFonts w:ascii="Times New Roman" w:eastAsia="Times New Roman" w:hAnsi="Times New Roman" w:cs="Times New Roman"/>
          <w:b/>
          <w:bCs/>
          <w:sz w:val="27"/>
          <w:szCs w:val="27"/>
          <w:lang w:eastAsia="en-GB"/>
        </w:rPr>
      </w:pPr>
      <w:r w:rsidRPr="003B7B1B">
        <w:rPr>
          <w:rFonts w:ascii="Arial" w:eastAsia="Times New Roman" w:hAnsi="Arial" w:cs="Arial"/>
          <w:b/>
          <w:bCs/>
          <w:color w:val="000000"/>
          <w:sz w:val="28"/>
          <w:szCs w:val="28"/>
          <w:lang w:eastAsia="en-GB"/>
        </w:rPr>
        <w:t>Introduction</w:t>
      </w:r>
    </w:p>
    <w:p w14:paraId="028EFA57"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42268A70" w14:textId="352B7AA4"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This report investigates an e-commerce website used to provide payment services and advice for commercial website operators. Attacks to this type of websites utilise vulnerabilities specific to the e-commerce websites, such as shopping cart, or vulnerabilities common to any web application, such as SQL injection or cross-site scripting. One of the most critical guides that we will consider through this process is the OWASP (OWASP, 2020), which constitutes an essential and globally approved framework to use as a starting point. The methodology, scanning tools, and limitations will be analysed through the first part of the reconnaissance and evidence evaluation. At a later stage, a new report will be produced </w:t>
      </w:r>
      <w:r>
        <w:rPr>
          <w:rFonts w:ascii="Arial" w:eastAsia="Times New Roman" w:hAnsi="Arial" w:cs="Arial"/>
          <w:color w:val="000000"/>
          <w:lang w:eastAsia="en-GB"/>
        </w:rPr>
        <w:t>explaining the</w:t>
      </w:r>
      <w:r w:rsidRPr="003B7B1B">
        <w:rPr>
          <w:rFonts w:ascii="Arial" w:eastAsia="Times New Roman" w:hAnsi="Arial" w:cs="Arial"/>
          <w:color w:val="000000"/>
          <w:lang w:eastAsia="en-GB"/>
        </w:rPr>
        <w:t xml:space="preserve"> vulnerabilities </w:t>
      </w:r>
      <w:r>
        <w:rPr>
          <w:rFonts w:ascii="Arial" w:eastAsia="Times New Roman" w:hAnsi="Arial" w:cs="Arial"/>
          <w:color w:val="000000"/>
          <w:lang w:eastAsia="en-GB"/>
        </w:rPr>
        <w:t>aligned with</w:t>
      </w:r>
      <w:r w:rsidRPr="003B7B1B">
        <w:rPr>
          <w:rFonts w:ascii="Arial" w:eastAsia="Times New Roman" w:hAnsi="Arial" w:cs="Arial"/>
          <w:color w:val="000000"/>
          <w:lang w:eastAsia="en-GB"/>
        </w:rPr>
        <w:t xml:space="preserve"> the industry’s standards</w:t>
      </w:r>
      <w:r>
        <w:rPr>
          <w:rFonts w:ascii="Arial" w:eastAsia="Times New Roman" w:hAnsi="Arial" w:cs="Arial"/>
          <w:color w:val="000000"/>
          <w:lang w:eastAsia="en-GB"/>
        </w:rPr>
        <w:t>. The report will also include suggestions to</w:t>
      </w:r>
      <w:r w:rsidRPr="003B7B1B">
        <w:rPr>
          <w:rFonts w:ascii="Arial" w:eastAsia="Times New Roman" w:hAnsi="Arial" w:cs="Arial"/>
          <w:color w:val="000000"/>
          <w:lang w:eastAsia="en-GB"/>
        </w:rPr>
        <w:t xml:space="preserve"> mitigat</w:t>
      </w:r>
      <w:r>
        <w:rPr>
          <w:rFonts w:ascii="Arial" w:eastAsia="Times New Roman" w:hAnsi="Arial" w:cs="Arial"/>
          <w:color w:val="000000"/>
          <w:lang w:eastAsia="en-GB"/>
        </w:rPr>
        <w:t>e</w:t>
      </w:r>
      <w:r w:rsidRPr="003B7B1B">
        <w:rPr>
          <w:rFonts w:ascii="Arial" w:eastAsia="Times New Roman" w:hAnsi="Arial" w:cs="Arial"/>
          <w:color w:val="000000"/>
          <w:lang w:eastAsia="en-GB"/>
        </w:rPr>
        <w:t xml:space="preserve"> </w:t>
      </w:r>
      <w:r>
        <w:rPr>
          <w:rFonts w:ascii="Arial" w:eastAsia="Times New Roman" w:hAnsi="Arial" w:cs="Arial"/>
          <w:color w:val="000000"/>
          <w:lang w:eastAsia="en-GB"/>
        </w:rPr>
        <w:t>t</w:t>
      </w:r>
      <w:r w:rsidRPr="003B7B1B">
        <w:rPr>
          <w:rFonts w:ascii="Arial" w:eastAsia="Times New Roman" w:hAnsi="Arial" w:cs="Arial"/>
          <w:color w:val="000000"/>
          <w:lang w:eastAsia="en-GB"/>
        </w:rPr>
        <w:t>he potential risks and non-conformities.</w:t>
      </w:r>
    </w:p>
    <w:p w14:paraId="5B99B252" w14:textId="77777777" w:rsidR="003B7B1B" w:rsidRPr="003B7B1B" w:rsidRDefault="003B7B1B" w:rsidP="003B7B1B">
      <w:pPr>
        <w:spacing w:before="240" w:after="0" w:line="240" w:lineRule="auto"/>
        <w:jc w:val="both"/>
        <w:outlineLvl w:val="2"/>
        <w:rPr>
          <w:rFonts w:ascii="Times New Roman" w:eastAsia="Times New Roman" w:hAnsi="Times New Roman" w:cs="Times New Roman"/>
          <w:b/>
          <w:bCs/>
          <w:sz w:val="27"/>
          <w:szCs w:val="27"/>
          <w:lang w:eastAsia="en-GB"/>
        </w:rPr>
      </w:pPr>
      <w:r w:rsidRPr="003B7B1B">
        <w:rPr>
          <w:rFonts w:ascii="Arial" w:eastAsia="Times New Roman" w:hAnsi="Arial" w:cs="Arial"/>
          <w:b/>
          <w:bCs/>
          <w:color w:val="000000"/>
          <w:sz w:val="28"/>
          <w:szCs w:val="28"/>
          <w:lang w:eastAsia="en-GB"/>
        </w:rPr>
        <w:t>Methodology</w:t>
      </w:r>
    </w:p>
    <w:p w14:paraId="325AD725" w14:textId="708F3F1B"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In his article “OSI: The Internet That Wasn’t” (2013), Russell shares a brief history and the surrounding thought process that helped the industry conclude TCP/IP stack as the de facto standard. Inspired by the idea of layered modularity, we try to bolster the test procedures and develop a structured approach while examining the website in the bottom-up fashion through the TCP/IP stack (</w:t>
      </w:r>
      <w:r w:rsidRPr="003B7B1B">
        <w:rPr>
          <w:rFonts w:ascii="Arial" w:eastAsia="Times New Roman" w:hAnsi="Arial" w:cs="Arial"/>
          <w:i/>
          <w:iCs/>
          <w:color w:val="000000"/>
          <w:lang w:eastAsia="en-GB"/>
        </w:rPr>
        <w:t>Figure 1</w:t>
      </w:r>
      <w:r w:rsidRPr="003B7B1B">
        <w:rPr>
          <w:rFonts w:ascii="Arial" w:eastAsia="Times New Roman" w:hAnsi="Arial" w:cs="Arial"/>
          <w:color w:val="000000"/>
          <w:lang w:eastAsia="en-GB"/>
        </w:rPr>
        <w:t xml:space="preserve">). We use manual testing to understand the modus operandi rather than blindly relying on automated scripts </w:t>
      </w:r>
      <w:r>
        <w:rPr>
          <w:rFonts w:ascii="Arial" w:eastAsia="Times New Roman" w:hAnsi="Arial" w:cs="Arial"/>
          <w:color w:val="000000"/>
          <w:lang w:eastAsia="en-GB"/>
        </w:rPr>
        <w:t>to understand the testing process better</w:t>
      </w:r>
      <w:r w:rsidRPr="003B7B1B">
        <w:rPr>
          <w:rFonts w:ascii="Arial" w:eastAsia="Times New Roman" w:hAnsi="Arial" w:cs="Arial"/>
          <w:color w:val="000000"/>
          <w:lang w:eastAsia="en-GB"/>
        </w:rPr>
        <w:t>. </w:t>
      </w:r>
    </w:p>
    <w:p w14:paraId="61FC7ABC"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2DFD6566" w14:textId="77777777"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drawing>
          <wp:inline distT="0" distB="0" distL="0" distR="0" wp14:anchorId="3D6A08CD" wp14:editId="27E08315">
            <wp:extent cx="5867400" cy="2125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7400" cy="2125980"/>
                    </a:xfrm>
                    <a:prstGeom prst="rect">
                      <a:avLst/>
                    </a:prstGeom>
                    <a:noFill/>
                    <a:ln>
                      <a:noFill/>
                    </a:ln>
                  </pic:spPr>
                </pic:pic>
              </a:graphicData>
            </a:graphic>
          </wp:inline>
        </w:drawing>
      </w:r>
    </w:p>
    <w:p w14:paraId="6D27D17E"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1: Bottom-Up approach </w:t>
      </w:r>
    </w:p>
    <w:p w14:paraId="2B9CCE01"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3997C053" w14:textId="4465539D"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First, we try to recognise the neighbouring elements in the architecture enveloping the target web server. We found details like the environment hosting the web server, time to live (TTL), hops needed to reach the web server, and the DNS response. Examining the domain name helped us confirm that the web server is hosted on Amazon Web Services. The DNS resolution yielded only one record for an IPv4 address (Figure 2). The IP is registered under American Registry for Internet Numbers (ARIN) in the name of Amazon </w:t>
      </w:r>
      <w:proofErr w:type="gramStart"/>
      <w:r w:rsidRPr="003B7B1B">
        <w:rPr>
          <w:rFonts w:ascii="Arial" w:eastAsia="Times New Roman" w:hAnsi="Arial" w:cs="Arial"/>
          <w:color w:val="000000"/>
          <w:lang w:eastAsia="en-GB"/>
        </w:rPr>
        <w:t>Technologies .Inc</w:t>
      </w:r>
      <w:proofErr w:type="gramEnd"/>
      <w:r w:rsidRPr="003B7B1B">
        <w:rPr>
          <w:rFonts w:ascii="Arial" w:eastAsia="Times New Roman" w:hAnsi="Arial" w:cs="Arial"/>
          <w:color w:val="000000"/>
          <w:lang w:eastAsia="en-GB"/>
        </w:rPr>
        <w:t xml:space="preserve"> (Figure 3). Traceroute relies </w:t>
      </w:r>
      <w:r w:rsidRPr="003B7B1B">
        <w:rPr>
          <w:rFonts w:ascii="Arial" w:eastAsia="Times New Roman" w:hAnsi="Arial" w:cs="Arial"/>
          <w:color w:val="000000"/>
          <w:lang w:eastAsia="en-GB"/>
        </w:rPr>
        <w:lastRenderedPageBreak/>
        <w:t>on ICMP protocol, so we checked if the server responds to ICMP to find the hops’ number until the web server IP. We witnessed that some intermediary hops timed out (with request timed out) possibly due to the firewall configurations on the internet service providers (ISP). Many ISPs disable the ICMP packets internally to avoid flooding and</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enforce what internet service providers refer to as topology hiding (Figure 5). </w:t>
      </w:r>
    </w:p>
    <w:p w14:paraId="0DBA0054"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33AB57A1"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drawing>
          <wp:inline distT="0" distB="0" distL="0" distR="0" wp14:anchorId="6B11719A" wp14:editId="17400AE6">
            <wp:extent cx="591312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120" cy="2606040"/>
                    </a:xfrm>
                    <a:prstGeom prst="rect">
                      <a:avLst/>
                    </a:prstGeom>
                    <a:noFill/>
                    <a:ln>
                      <a:noFill/>
                    </a:ln>
                  </pic:spPr>
                </pic:pic>
              </a:graphicData>
            </a:graphic>
          </wp:inline>
        </w:drawing>
      </w:r>
    </w:p>
    <w:p w14:paraId="4F4D8F68"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2: DNS resolution using NSLOOKUP</w:t>
      </w:r>
    </w:p>
    <w:p w14:paraId="6D837367"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66EF2276"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lastRenderedPageBreak/>
        <w:drawing>
          <wp:inline distT="0" distB="0" distL="0" distR="0" wp14:anchorId="0EEEC70A" wp14:editId="795687EC">
            <wp:extent cx="5897880" cy="46024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7880" cy="4602480"/>
                    </a:xfrm>
                    <a:prstGeom prst="rect">
                      <a:avLst/>
                    </a:prstGeom>
                    <a:noFill/>
                    <a:ln>
                      <a:noFill/>
                    </a:ln>
                  </pic:spPr>
                </pic:pic>
              </a:graphicData>
            </a:graphic>
          </wp:inline>
        </w:drawing>
      </w:r>
    </w:p>
    <w:p w14:paraId="7F0A065E"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3: IP ownership and registration using WHOIS</w:t>
      </w:r>
    </w:p>
    <w:p w14:paraId="3EA34DDE"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19EF1218"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drawing>
          <wp:inline distT="0" distB="0" distL="0" distR="0" wp14:anchorId="07A958E8" wp14:editId="06C46C9D">
            <wp:extent cx="58674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1714500"/>
                    </a:xfrm>
                    <a:prstGeom prst="rect">
                      <a:avLst/>
                    </a:prstGeom>
                    <a:noFill/>
                    <a:ln>
                      <a:noFill/>
                    </a:ln>
                  </pic:spPr>
                </pic:pic>
              </a:graphicData>
            </a:graphic>
          </wp:inline>
        </w:drawing>
      </w:r>
    </w:p>
    <w:p w14:paraId="0395F166"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4: Checking Server for ICMP protocol</w:t>
      </w:r>
    </w:p>
    <w:p w14:paraId="2A5A7EE4"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6CC2CA71"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lastRenderedPageBreak/>
        <w:drawing>
          <wp:inline distT="0" distB="0" distL="0" distR="0" wp14:anchorId="38877C95" wp14:editId="40C326C9">
            <wp:extent cx="58674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2788920"/>
                    </a:xfrm>
                    <a:prstGeom prst="rect">
                      <a:avLst/>
                    </a:prstGeom>
                    <a:noFill/>
                    <a:ln>
                      <a:noFill/>
                    </a:ln>
                  </pic:spPr>
                </pic:pic>
              </a:graphicData>
            </a:graphic>
          </wp:inline>
        </w:drawing>
      </w:r>
    </w:p>
    <w:p w14:paraId="07DD342F"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 xml:space="preserve">Figure 5: Reckoning the total path to the </w:t>
      </w:r>
      <w:proofErr w:type="gramStart"/>
      <w:r w:rsidRPr="003B7B1B">
        <w:rPr>
          <w:rFonts w:ascii="Arial" w:eastAsia="Times New Roman" w:hAnsi="Arial" w:cs="Arial"/>
          <w:i/>
          <w:iCs/>
          <w:color w:val="000000"/>
          <w:lang w:eastAsia="en-GB"/>
        </w:rPr>
        <w:t>final destination</w:t>
      </w:r>
      <w:proofErr w:type="gramEnd"/>
      <w:r w:rsidRPr="003B7B1B">
        <w:rPr>
          <w:rFonts w:ascii="Arial" w:eastAsia="Times New Roman" w:hAnsi="Arial" w:cs="Arial"/>
          <w:i/>
          <w:iCs/>
          <w:color w:val="000000"/>
          <w:lang w:eastAsia="en-GB"/>
        </w:rPr>
        <w:t xml:space="preserve"> through the hops</w:t>
      </w:r>
    </w:p>
    <w:p w14:paraId="4C27AE8A"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295FB834"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drawing>
          <wp:inline distT="0" distB="0" distL="0" distR="0" wp14:anchorId="19B3D1E0" wp14:editId="22874496">
            <wp:extent cx="58674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2133600"/>
                    </a:xfrm>
                    <a:prstGeom prst="rect">
                      <a:avLst/>
                    </a:prstGeom>
                    <a:noFill/>
                    <a:ln>
                      <a:noFill/>
                    </a:ln>
                  </pic:spPr>
                </pic:pic>
              </a:graphicData>
            </a:graphic>
          </wp:inline>
        </w:drawing>
      </w:r>
    </w:p>
    <w:p w14:paraId="582A7516"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 xml:space="preserve">Figure 6: Using </w:t>
      </w:r>
      <w:proofErr w:type="spellStart"/>
      <w:r w:rsidRPr="003B7B1B">
        <w:rPr>
          <w:rFonts w:ascii="Arial" w:eastAsia="Times New Roman" w:hAnsi="Arial" w:cs="Arial"/>
          <w:i/>
          <w:iCs/>
          <w:color w:val="000000"/>
          <w:lang w:eastAsia="en-GB"/>
        </w:rPr>
        <w:t>nmap</w:t>
      </w:r>
      <w:proofErr w:type="spellEnd"/>
      <w:r w:rsidRPr="003B7B1B">
        <w:rPr>
          <w:rFonts w:ascii="Arial" w:eastAsia="Times New Roman" w:hAnsi="Arial" w:cs="Arial"/>
          <w:i/>
          <w:iCs/>
          <w:color w:val="000000"/>
          <w:lang w:eastAsia="en-GB"/>
        </w:rPr>
        <w:t xml:space="preserve"> to scan for open TCP ports and the services running on them</w:t>
      </w:r>
    </w:p>
    <w:p w14:paraId="6FDAB0CB"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33BD59DA" w14:textId="77777777"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We use NMAP to scan for the Transmission Control Protocol (TCP) ports, revealing that two services are open and listening services on port 22 and port 80. Since TCP protocol works on a 3-way handshake; we try to see beyond the outcome from the scan above and initiate handshake by sending TCP SYN for all ports (1 - 65535) towards the destination server using </w:t>
      </w:r>
      <w:proofErr w:type="spellStart"/>
      <w:r w:rsidRPr="003B7B1B">
        <w:rPr>
          <w:rFonts w:ascii="Arial" w:eastAsia="Times New Roman" w:hAnsi="Arial" w:cs="Arial"/>
          <w:color w:val="000000"/>
          <w:lang w:eastAsia="en-GB"/>
        </w:rPr>
        <w:t>nping</w:t>
      </w:r>
      <w:proofErr w:type="spellEnd"/>
      <w:r w:rsidRPr="003B7B1B">
        <w:rPr>
          <w:rFonts w:ascii="Arial" w:eastAsia="Times New Roman" w:hAnsi="Arial" w:cs="Arial"/>
          <w:color w:val="000000"/>
          <w:lang w:eastAsia="en-GB"/>
        </w:rPr>
        <w:t xml:space="preserve">. An intriguing </w:t>
      </w:r>
      <w:proofErr w:type="gramStart"/>
      <w:r w:rsidRPr="003B7B1B">
        <w:rPr>
          <w:rFonts w:ascii="Arial" w:eastAsia="Times New Roman" w:hAnsi="Arial" w:cs="Arial"/>
          <w:color w:val="000000"/>
          <w:lang w:eastAsia="en-GB"/>
        </w:rPr>
        <w:t>find</w:t>
      </w:r>
      <w:proofErr w:type="gramEnd"/>
      <w:r w:rsidRPr="003B7B1B">
        <w:rPr>
          <w:rFonts w:ascii="Arial" w:eastAsia="Times New Roman" w:hAnsi="Arial" w:cs="Arial"/>
          <w:color w:val="000000"/>
          <w:lang w:eastAsia="en-GB"/>
        </w:rPr>
        <w:t xml:space="preserve"> worth mentioning is that port 443 was also open on the firewall, and the TCP SYN were rejected with an RST by the destination server (Figure 7 &amp; 8). </w:t>
      </w:r>
    </w:p>
    <w:p w14:paraId="022CCEA6"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0C00709A"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drawing>
          <wp:inline distT="0" distB="0" distL="0" distR="0" wp14:anchorId="3A5EE989" wp14:editId="66320BB4">
            <wp:extent cx="58674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716280"/>
                    </a:xfrm>
                    <a:prstGeom prst="rect">
                      <a:avLst/>
                    </a:prstGeom>
                    <a:noFill/>
                    <a:ln>
                      <a:noFill/>
                    </a:ln>
                  </pic:spPr>
                </pic:pic>
              </a:graphicData>
            </a:graphic>
          </wp:inline>
        </w:drawing>
      </w:r>
    </w:p>
    <w:p w14:paraId="07EC8391"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7: RST received from port 443</w:t>
      </w:r>
    </w:p>
    <w:p w14:paraId="177FFDF4"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lastRenderedPageBreak/>
        <w:drawing>
          <wp:inline distT="0" distB="0" distL="0" distR="0" wp14:anchorId="28F7D78D" wp14:editId="471509EC">
            <wp:extent cx="4297680" cy="3512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3512820"/>
                    </a:xfrm>
                    <a:prstGeom prst="rect">
                      <a:avLst/>
                    </a:prstGeom>
                    <a:noFill/>
                    <a:ln>
                      <a:noFill/>
                    </a:ln>
                  </pic:spPr>
                </pic:pic>
              </a:graphicData>
            </a:graphic>
          </wp:inline>
        </w:drawing>
      </w:r>
    </w:p>
    <w:p w14:paraId="243E2B46"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8: Open TCP Ports on the firewall</w:t>
      </w:r>
    </w:p>
    <w:p w14:paraId="000EE0C5"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55D18BDB" w14:textId="77777777" w:rsidR="003B7B1B" w:rsidRPr="003B7B1B" w:rsidRDefault="003B7B1B" w:rsidP="003B7B1B">
      <w:pPr>
        <w:spacing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The internet browser helped us confirm that the web server was running on port 80, making it insecure. This fact makes the HTTP requests and responses human-readable when eavesdropped using a packet capturing tool like </w:t>
      </w:r>
      <w:proofErr w:type="spellStart"/>
      <w:r w:rsidRPr="003B7B1B">
        <w:rPr>
          <w:rFonts w:ascii="Arial" w:eastAsia="Times New Roman" w:hAnsi="Arial" w:cs="Arial"/>
          <w:color w:val="000000"/>
          <w:lang w:eastAsia="en-GB"/>
        </w:rPr>
        <w:t>tshark</w:t>
      </w:r>
      <w:proofErr w:type="spellEnd"/>
      <w:r w:rsidRPr="003B7B1B">
        <w:rPr>
          <w:rFonts w:ascii="Arial" w:eastAsia="Times New Roman" w:hAnsi="Arial" w:cs="Arial"/>
          <w:color w:val="000000"/>
          <w:lang w:eastAsia="en-GB"/>
        </w:rPr>
        <w:t xml:space="preserve"> without any need to decrypt it (</w:t>
      </w:r>
      <w:r w:rsidRPr="003B7B1B">
        <w:rPr>
          <w:rFonts w:ascii="Arial" w:eastAsia="Times New Roman" w:hAnsi="Arial" w:cs="Arial"/>
          <w:i/>
          <w:iCs/>
          <w:color w:val="000000"/>
          <w:lang w:eastAsia="en-GB"/>
        </w:rPr>
        <w:t>Figure 9</w:t>
      </w:r>
      <w:r w:rsidRPr="003B7B1B">
        <w:rPr>
          <w:rFonts w:ascii="Arial" w:eastAsia="Times New Roman" w:hAnsi="Arial" w:cs="Arial"/>
          <w:color w:val="000000"/>
          <w:lang w:eastAsia="en-GB"/>
        </w:rPr>
        <w:t xml:space="preserve">). We use HTTP add to publish a comment on the website and confirm that the transactions were readable in the capture on the local interface using </w:t>
      </w:r>
      <w:proofErr w:type="spellStart"/>
      <w:r w:rsidRPr="003B7B1B">
        <w:rPr>
          <w:rFonts w:ascii="Arial" w:eastAsia="Times New Roman" w:hAnsi="Arial" w:cs="Arial"/>
          <w:color w:val="000000"/>
          <w:lang w:eastAsia="en-GB"/>
        </w:rPr>
        <w:t>tshark</w:t>
      </w:r>
      <w:proofErr w:type="spellEnd"/>
      <w:r w:rsidRPr="003B7B1B">
        <w:rPr>
          <w:rFonts w:ascii="Arial" w:eastAsia="Times New Roman" w:hAnsi="Arial" w:cs="Arial"/>
          <w:color w:val="000000"/>
          <w:lang w:eastAsia="en-GB"/>
        </w:rPr>
        <w:t xml:space="preserve"> and investigated with Wireshark.</w:t>
      </w:r>
    </w:p>
    <w:p w14:paraId="62EF236E"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0B2F1665"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lastRenderedPageBreak/>
        <w:drawing>
          <wp:inline distT="0" distB="0" distL="0" distR="0" wp14:anchorId="0D2A8A70" wp14:editId="340DAD26">
            <wp:extent cx="58674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495800"/>
                    </a:xfrm>
                    <a:prstGeom prst="rect">
                      <a:avLst/>
                    </a:prstGeom>
                    <a:noFill/>
                    <a:ln>
                      <a:noFill/>
                    </a:ln>
                  </pic:spPr>
                </pic:pic>
              </a:graphicData>
            </a:graphic>
          </wp:inline>
        </w:drawing>
      </w:r>
    </w:p>
    <w:p w14:paraId="287AD598"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9: Human-readable HTTP POST request</w:t>
      </w:r>
    </w:p>
    <w:p w14:paraId="0B60E4D7"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1F37BD8F" w14:textId="77777777" w:rsidR="003B7B1B" w:rsidRPr="003B7B1B" w:rsidRDefault="003B7B1B" w:rsidP="003B7B1B">
      <w:pPr>
        <w:spacing w:before="240"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We ran a bash script (Figure 10) with the above understanding to see if the system has any defensive mechanism to avoid flooding and found no security measures like CAPTCHA or timeout to avoid automated flooding. </w:t>
      </w:r>
    </w:p>
    <w:p w14:paraId="386FEC4B" w14:textId="77777777" w:rsidR="003B7B1B" w:rsidRPr="003B7B1B" w:rsidRDefault="003B7B1B" w:rsidP="003B7B1B">
      <w:pPr>
        <w:spacing w:before="240"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drawing>
          <wp:inline distT="0" distB="0" distL="0" distR="0" wp14:anchorId="0BB86911" wp14:editId="3CA377FC">
            <wp:extent cx="5867400" cy="1059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1059180"/>
                    </a:xfrm>
                    <a:prstGeom prst="rect">
                      <a:avLst/>
                    </a:prstGeom>
                    <a:noFill/>
                    <a:ln>
                      <a:noFill/>
                    </a:ln>
                  </pic:spPr>
                </pic:pic>
              </a:graphicData>
            </a:graphic>
          </wp:inline>
        </w:drawing>
      </w:r>
    </w:p>
    <w:p w14:paraId="38C8CED1"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10: Bash script</w:t>
      </w:r>
    </w:p>
    <w:p w14:paraId="0AB2EC0A" w14:textId="7E457D02" w:rsidR="003B7B1B" w:rsidRPr="003B7B1B" w:rsidRDefault="003B7B1B" w:rsidP="003B7B1B">
      <w:pPr>
        <w:spacing w:before="240"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Subsequently, we switched to scan the available SSH and HTTP server using penetration testing suites like OpenVAS (Figure 11), </w:t>
      </w:r>
      <w:proofErr w:type="spellStart"/>
      <w:r w:rsidRPr="003B7B1B">
        <w:rPr>
          <w:rFonts w:ascii="Arial" w:eastAsia="Times New Roman" w:hAnsi="Arial" w:cs="Arial"/>
          <w:color w:val="000000"/>
          <w:lang w:eastAsia="en-GB"/>
        </w:rPr>
        <w:t>Nikto</w:t>
      </w:r>
      <w:proofErr w:type="spellEnd"/>
      <w:r w:rsidRPr="003B7B1B">
        <w:rPr>
          <w:rFonts w:ascii="Arial" w:eastAsia="Times New Roman" w:hAnsi="Arial" w:cs="Arial"/>
          <w:color w:val="000000"/>
          <w:lang w:eastAsia="en-GB"/>
        </w:rPr>
        <w:t xml:space="preserve"> (Figure 12), OWASP ZAP</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(Figure 13) and Metasploit (Figure 14). </w:t>
      </w:r>
    </w:p>
    <w:p w14:paraId="0D15F362" w14:textId="0B03609A" w:rsidR="003B7B1B" w:rsidRPr="003B7B1B" w:rsidRDefault="003B7B1B" w:rsidP="003B7B1B">
      <w:pPr>
        <w:spacing w:before="240" w:after="0"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OpenVAS and </w:t>
      </w:r>
      <w:proofErr w:type="spellStart"/>
      <w:proofErr w:type="gramStart"/>
      <w:r w:rsidRPr="003B7B1B">
        <w:rPr>
          <w:rFonts w:ascii="Arial" w:eastAsia="Times New Roman" w:hAnsi="Arial" w:cs="Arial"/>
          <w:color w:val="000000"/>
          <w:lang w:eastAsia="en-GB"/>
        </w:rPr>
        <w:t>Nikto</w:t>
      </w:r>
      <w:proofErr w:type="spellEnd"/>
      <w:r w:rsidRPr="003B7B1B">
        <w:rPr>
          <w:rFonts w:ascii="Arial" w:eastAsia="Times New Roman" w:hAnsi="Arial" w:cs="Arial"/>
          <w:color w:val="000000"/>
          <w:lang w:eastAsia="en-GB"/>
        </w:rPr>
        <w:t>,  provided</w:t>
      </w:r>
      <w:proofErr w:type="gramEnd"/>
      <w:r w:rsidRPr="003B7B1B">
        <w:rPr>
          <w:rFonts w:ascii="Arial" w:eastAsia="Times New Roman" w:hAnsi="Arial" w:cs="Arial"/>
          <w:color w:val="000000"/>
          <w:lang w:eastAsia="en-GB"/>
        </w:rPr>
        <w:t xml:space="preserve"> extensive reports with explanations,</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 xml:space="preserve">matching Common Vulnerabilities and Exposures </w:t>
      </w:r>
      <w:r>
        <w:rPr>
          <w:rFonts w:ascii="Arial" w:eastAsia="Times New Roman" w:hAnsi="Arial" w:cs="Arial"/>
          <w:color w:val="000000"/>
          <w:lang w:eastAsia="en-GB"/>
        </w:rPr>
        <w:t>(</w:t>
      </w:r>
      <w:r w:rsidRPr="003B7B1B">
        <w:rPr>
          <w:rFonts w:ascii="Arial" w:eastAsia="Times New Roman" w:hAnsi="Arial" w:cs="Arial"/>
          <w:color w:val="000000"/>
          <w:lang w:eastAsia="en-GB"/>
        </w:rPr>
        <w:t>CVE</w:t>
      </w:r>
      <w:r>
        <w:rPr>
          <w:rFonts w:ascii="Arial" w:eastAsia="Times New Roman" w:hAnsi="Arial" w:cs="Arial"/>
          <w:color w:val="000000"/>
          <w:lang w:eastAsia="en-GB"/>
        </w:rPr>
        <w:t>)</w:t>
      </w:r>
      <w:r w:rsidRPr="003B7B1B">
        <w:rPr>
          <w:rFonts w:ascii="Arial" w:eastAsia="Times New Roman" w:hAnsi="Arial" w:cs="Arial"/>
          <w:color w:val="000000"/>
          <w:lang w:eastAsia="en-GB"/>
        </w:rPr>
        <w:t xml:space="preserve"> </w:t>
      </w:r>
      <w:r>
        <w:rPr>
          <w:rFonts w:ascii="Arial" w:eastAsia="Times New Roman" w:hAnsi="Arial" w:cs="Arial"/>
          <w:color w:val="000000"/>
          <w:lang w:eastAsia="en-GB"/>
        </w:rPr>
        <w:t>whilst suggesting mitigations</w:t>
      </w:r>
      <w:r w:rsidRPr="003B7B1B">
        <w:rPr>
          <w:rFonts w:ascii="Arial" w:eastAsia="Times New Roman" w:hAnsi="Arial" w:cs="Arial"/>
          <w:color w:val="000000"/>
          <w:lang w:eastAsia="en-GB"/>
        </w:rPr>
        <w:t>. The scan reports also yielded some false positives, which we</w:t>
      </w:r>
      <w:r>
        <w:rPr>
          <w:rFonts w:ascii="Arial" w:eastAsia="Times New Roman" w:hAnsi="Arial" w:cs="Arial"/>
          <w:color w:val="000000"/>
          <w:lang w:eastAsia="en-GB"/>
        </w:rPr>
        <w:t>r</w:t>
      </w:r>
      <w:r w:rsidRPr="003B7B1B">
        <w:rPr>
          <w:rFonts w:ascii="Arial" w:eastAsia="Times New Roman" w:hAnsi="Arial" w:cs="Arial"/>
          <w:color w:val="000000"/>
          <w:lang w:eastAsia="en-GB"/>
        </w:rPr>
        <w:t xml:space="preserve">e filtered in the process. OWASP ZAP proved to be instrumental </w:t>
      </w:r>
      <w:r w:rsidRPr="003B7B1B">
        <w:rPr>
          <w:rFonts w:ascii="Arial" w:eastAsia="Times New Roman" w:hAnsi="Arial" w:cs="Arial"/>
          <w:color w:val="000000"/>
          <w:lang w:eastAsia="en-GB"/>
        </w:rPr>
        <w:lastRenderedPageBreak/>
        <w:t xml:space="preserve">and more efficient than the </w:t>
      </w:r>
      <w:proofErr w:type="gramStart"/>
      <w:r w:rsidRPr="003B7B1B">
        <w:rPr>
          <w:rFonts w:ascii="Arial" w:eastAsia="Times New Roman" w:hAnsi="Arial" w:cs="Arial"/>
          <w:color w:val="000000"/>
          <w:lang w:eastAsia="en-GB"/>
        </w:rPr>
        <w:t>aforementioned</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suites</w:t>
      </w:r>
      <w:proofErr w:type="gramEnd"/>
      <w:r w:rsidRPr="003B7B1B">
        <w:rPr>
          <w:rFonts w:ascii="Arial" w:eastAsia="Times New Roman" w:hAnsi="Arial" w:cs="Arial"/>
          <w:color w:val="000000"/>
          <w:lang w:eastAsia="en-GB"/>
        </w:rPr>
        <w:t>. The report had an impressive depth of information. After that, we used Metasploit</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but</w:t>
      </w:r>
      <w:r>
        <w:rPr>
          <w:rFonts w:ascii="Arial" w:eastAsia="Times New Roman" w:hAnsi="Arial" w:cs="Arial"/>
          <w:color w:val="000000"/>
          <w:lang w:eastAsia="en-GB"/>
        </w:rPr>
        <w:t xml:space="preserve"> were no</w:t>
      </w:r>
      <w:r w:rsidRPr="003B7B1B">
        <w:rPr>
          <w:rFonts w:ascii="Arial" w:eastAsia="Times New Roman" w:hAnsi="Arial" w:cs="Arial"/>
          <w:color w:val="000000"/>
          <w:lang w:eastAsia="en-GB"/>
        </w:rPr>
        <w:t>t</w:t>
      </w:r>
      <w:r>
        <w:rPr>
          <w:rFonts w:ascii="Arial" w:eastAsia="Times New Roman" w:hAnsi="Arial" w:cs="Arial"/>
          <w:color w:val="000000"/>
          <w:lang w:eastAsia="en-GB"/>
        </w:rPr>
        <w:t xml:space="preserve"> able to</w:t>
      </w:r>
      <w:r w:rsidRPr="003B7B1B">
        <w:rPr>
          <w:rFonts w:ascii="Arial" w:eastAsia="Times New Roman" w:hAnsi="Arial" w:cs="Arial"/>
          <w:color w:val="000000"/>
          <w:lang w:eastAsia="en-GB"/>
        </w:rPr>
        <w:t xml:space="preserve"> exploit/find any additional SSH vulnerability.</w:t>
      </w:r>
    </w:p>
    <w:p w14:paraId="1E26AF79"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11: OpenVAS GUI</w:t>
      </w:r>
      <w:r w:rsidRPr="003B7B1B">
        <w:rPr>
          <w:rFonts w:ascii="Times New Roman" w:eastAsia="Times New Roman" w:hAnsi="Times New Roman" w:cs="Times New Roman"/>
          <w:noProof/>
          <w:sz w:val="24"/>
          <w:szCs w:val="24"/>
          <w:bdr w:val="none" w:sz="0" w:space="0" w:color="auto" w:frame="1"/>
          <w:lang w:eastAsia="en-GB"/>
        </w:rPr>
        <w:drawing>
          <wp:inline distT="0" distB="0" distL="0" distR="0" wp14:anchorId="663ECAF9" wp14:editId="11FD96CA">
            <wp:extent cx="5867400"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2583180"/>
                    </a:xfrm>
                    <a:prstGeom prst="rect">
                      <a:avLst/>
                    </a:prstGeom>
                    <a:noFill/>
                    <a:ln>
                      <a:noFill/>
                    </a:ln>
                  </pic:spPr>
                </pic:pic>
              </a:graphicData>
            </a:graphic>
          </wp:inline>
        </w:drawing>
      </w:r>
    </w:p>
    <w:p w14:paraId="4D2689A0" w14:textId="77777777" w:rsidR="003B7B1B" w:rsidRPr="003B7B1B" w:rsidRDefault="003B7B1B" w:rsidP="003B7B1B">
      <w:pPr>
        <w:spacing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noProof/>
          <w:color w:val="000000"/>
          <w:bdr w:val="none" w:sz="0" w:space="0" w:color="auto" w:frame="1"/>
          <w:lang w:eastAsia="en-GB"/>
        </w:rPr>
        <w:drawing>
          <wp:inline distT="0" distB="0" distL="0" distR="0" wp14:anchorId="488E7F2D" wp14:editId="1DB1B93E">
            <wp:extent cx="586740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2583180"/>
                    </a:xfrm>
                    <a:prstGeom prst="rect">
                      <a:avLst/>
                    </a:prstGeom>
                    <a:noFill/>
                    <a:ln>
                      <a:noFill/>
                    </a:ln>
                  </pic:spPr>
                </pic:pic>
              </a:graphicData>
            </a:graphic>
          </wp:inline>
        </w:drawing>
      </w:r>
    </w:p>
    <w:p w14:paraId="5A7AA2B4"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2DC0BC97"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                                                     Figure 12: NIKTO CLI</w:t>
      </w:r>
    </w:p>
    <w:p w14:paraId="560FC798" w14:textId="77777777" w:rsidR="003B7B1B" w:rsidRPr="003B7B1B" w:rsidRDefault="003B7B1B" w:rsidP="003B7B1B">
      <w:pPr>
        <w:spacing w:before="240" w:after="0" w:line="240" w:lineRule="auto"/>
        <w:ind w:left="-425"/>
        <w:jc w:val="center"/>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lastRenderedPageBreak/>
        <w:drawing>
          <wp:inline distT="0" distB="0" distL="0" distR="0" wp14:anchorId="461C3579" wp14:editId="433C3467">
            <wp:extent cx="59359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446020"/>
                    </a:xfrm>
                    <a:prstGeom prst="rect">
                      <a:avLst/>
                    </a:prstGeom>
                    <a:noFill/>
                    <a:ln>
                      <a:noFill/>
                    </a:ln>
                  </pic:spPr>
                </pic:pic>
              </a:graphicData>
            </a:graphic>
          </wp:inline>
        </w:drawing>
      </w:r>
    </w:p>
    <w:p w14:paraId="3668EAC9" w14:textId="77777777" w:rsidR="003B7B1B" w:rsidRPr="003B7B1B" w:rsidRDefault="003B7B1B" w:rsidP="003B7B1B">
      <w:pPr>
        <w:spacing w:before="240"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 Figure 13: OWASP ZAP GUI</w:t>
      </w:r>
    </w:p>
    <w:p w14:paraId="7203EF51" w14:textId="77777777" w:rsidR="003B7B1B" w:rsidRPr="003B7B1B" w:rsidRDefault="003B7B1B" w:rsidP="003B7B1B">
      <w:pPr>
        <w:spacing w:before="240" w:after="0" w:line="240" w:lineRule="auto"/>
        <w:ind w:left="-425"/>
        <w:jc w:val="center"/>
        <w:rPr>
          <w:rFonts w:ascii="Times New Roman" w:eastAsia="Times New Roman" w:hAnsi="Times New Roman" w:cs="Times New Roman"/>
          <w:sz w:val="24"/>
          <w:szCs w:val="24"/>
          <w:lang w:eastAsia="en-GB"/>
        </w:rPr>
      </w:pPr>
      <w:r w:rsidRPr="003B7B1B">
        <w:rPr>
          <w:rFonts w:ascii="Arial" w:eastAsia="Times New Roman" w:hAnsi="Arial" w:cs="Arial"/>
          <w:noProof/>
          <w:color w:val="000000"/>
          <w:bdr w:val="none" w:sz="0" w:space="0" w:color="auto" w:frame="1"/>
          <w:lang w:eastAsia="en-GB"/>
        </w:rPr>
        <w:drawing>
          <wp:inline distT="0" distB="0" distL="0" distR="0" wp14:anchorId="77B33E43" wp14:editId="3268914B">
            <wp:extent cx="594360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1C00EF83" w14:textId="77777777" w:rsidR="003B7B1B" w:rsidRPr="003B7B1B" w:rsidRDefault="003B7B1B" w:rsidP="003B7B1B">
      <w:pPr>
        <w:spacing w:before="240" w:after="0" w:line="240" w:lineRule="auto"/>
        <w:jc w:val="center"/>
        <w:rPr>
          <w:rFonts w:ascii="Times New Roman" w:eastAsia="Times New Roman" w:hAnsi="Times New Roman" w:cs="Times New Roman"/>
          <w:sz w:val="24"/>
          <w:szCs w:val="24"/>
          <w:lang w:eastAsia="en-GB"/>
        </w:rPr>
      </w:pPr>
      <w:r w:rsidRPr="003B7B1B">
        <w:rPr>
          <w:rFonts w:ascii="Arial" w:eastAsia="Times New Roman" w:hAnsi="Arial" w:cs="Arial"/>
          <w:i/>
          <w:iCs/>
          <w:color w:val="000000"/>
          <w:lang w:eastAsia="en-GB"/>
        </w:rPr>
        <w:t>Figure 14: Metasploit CLI</w:t>
      </w:r>
    </w:p>
    <w:p w14:paraId="2AF1E610" w14:textId="66458A35" w:rsidR="003B7B1B" w:rsidRPr="003B7B1B" w:rsidRDefault="003B7B1B" w:rsidP="003B7B1B">
      <w:pPr>
        <w:spacing w:before="280" w:after="80" w:line="240" w:lineRule="auto"/>
        <w:jc w:val="both"/>
        <w:outlineLvl w:val="2"/>
        <w:rPr>
          <w:rFonts w:ascii="Times New Roman" w:eastAsia="Times New Roman" w:hAnsi="Times New Roman" w:cs="Times New Roman"/>
          <w:b/>
          <w:bCs/>
          <w:sz w:val="27"/>
          <w:szCs w:val="27"/>
          <w:lang w:eastAsia="en-GB"/>
        </w:rPr>
      </w:pPr>
      <w:r w:rsidRPr="003B7B1B">
        <w:rPr>
          <w:rFonts w:ascii="Arial" w:eastAsia="Times New Roman" w:hAnsi="Arial" w:cs="Arial"/>
          <w:b/>
          <w:bCs/>
          <w:color w:val="000000"/>
          <w:sz w:val="28"/>
          <w:szCs w:val="28"/>
          <w:lang w:eastAsia="en-GB"/>
        </w:rPr>
        <w:t>Timeline </w:t>
      </w:r>
      <w:r>
        <w:rPr>
          <w:rFonts w:ascii="Arial" w:eastAsia="Times New Roman" w:hAnsi="Arial" w:cs="Arial"/>
          <w:b/>
          <w:bCs/>
          <w:color w:val="000000"/>
          <w:sz w:val="28"/>
          <w:szCs w:val="28"/>
          <w:lang w:eastAsia="en-GB"/>
        </w:rPr>
        <w:t xml:space="preserve">and </w:t>
      </w:r>
      <w:r w:rsidRPr="003B7B1B">
        <w:rPr>
          <w:rFonts w:ascii="Arial" w:eastAsia="Times New Roman" w:hAnsi="Arial" w:cs="Arial"/>
          <w:b/>
          <w:bCs/>
          <w:color w:val="000000"/>
          <w:sz w:val="28"/>
          <w:szCs w:val="28"/>
          <w:lang w:eastAsia="en-GB"/>
        </w:rPr>
        <w:t>Limitations</w:t>
      </w:r>
    </w:p>
    <w:p w14:paraId="43A8C2AC" w14:textId="24A0C8E7" w:rsidR="003B7B1B" w:rsidRPr="003B7B1B" w:rsidRDefault="003B7B1B" w:rsidP="003B7B1B">
      <w:pPr>
        <w:spacing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With the limited time we had to explore the website, we were still able to coordinate the activities successfully, allowing all the team members to try a plethora of tools using the </w:t>
      </w:r>
      <w:r>
        <w:rPr>
          <w:rFonts w:ascii="Arial" w:eastAsia="Times New Roman" w:hAnsi="Arial" w:cs="Arial"/>
          <w:color w:val="000000"/>
          <w:lang w:eastAsia="en-GB"/>
        </w:rPr>
        <w:t>methodology mentioned above</w:t>
      </w:r>
      <w:r w:rsidRPr="003B7B1B">
        <w:rPr>
          <w:rFonts w:ascii="Arial" w:eastAsia="Times New Roman" w:hAnsi="Arial" w:cs="Arial"/>
          <w:color w:val="000000"/>
          <w:lang w:eastAsia="en-GB"/>
        </w:rPr>
        <w:t xml:space="preserve">. We concentrated our efforts to perform the scanning independently and then converged to discuss the results/observations. </w:t>
      </w:r>
      <w:r>
        <w:rPr>
          <w:rFonts w:ascii="Arial" w:eastAsia="Times New Roman" w:hAnsi="Arial" w:cs="Arial"/>
          <w:color w:val="000000"/>
          <w:lang w:eastAsia="en-GB"/>
        </w:rPr>
        <w:t>However, w</w:t>
      </w:r>
      <w:r w:rsidRPr="003B7B1B">
        <w:rPr>
          <w:rFonts w:ascii="Arial" w:eastAsia="Times New Roman" w:hAnsi="Arial" w:cs="Arial"/>
          <w:color w:val="000000"/>
          <w:lang w:eastAsia="en-GB"/>
        </w:rPr>
        <w:t>e believe that w</w:t>
      </w:r>
      <w:r>
        <w:rPr>
          <w:rFonts w:ascii="Arial" w:eastAsia="Times New Roman" w:hAnsi="Arial" w:cs="Arial"/>
          <w:color w:val="000000"/>
          <w:lang w:eastAsia="en-GB"/>
        </w:rPr>
        <w:t>e could have subjected the website to more vulnerability assessment tools with more time</w:t>
      </w:r>
      <w:r w:rsidRPr="003B7B1B">
        <w:rPr>
          <w:rFonts w:ascii="Arial" w:eastAsia="Times New Roman" w:hAnsi="Arial" w:cs="Arial"/>
          <w:color w:val="000000"/>
          <w:lang w:eastAsia="en-GB"/>
        </w:rPr>
        <w:t>.</w:t>
      </w:r>
    </w:p>
    <w:p w14:paraId="274E42D4" w14:textId="42A4E0A4" w:rsidR="003B7B1B" w:rsidRPr="003B7B1B" w:rsidRDefault="003B7B1B" w:rsidP="003B7B1B">
      <w:pPr>
        <w:spacing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color w:val="000000"/>
          <w:lang w:eastAsia="en-GB"/>
        </w:rPr>
        <w:t xml:space="preserve">The web server was hosting a basic PHP web site, with </w:t>
      </w:r>
      <w:r>
        <w:rPr>
          <w:rFonts w:ascii="Arial" w:eastAsia="Times New Roman" w:hAnsi="Arial" w:cs="Arial"/>
          <w:color w:val="000000"/>
          <w:lang w:eastAsia="en-GB"/>
        </w:rPr>
        <w:t>minimal</w:t>
      </w:r>
      <w:r w:rsidRPr="003B7B1B">
        <w:rPr>
          <w:rFonts w:ascii="Arial" w:eastAsia="Times New Roman" w:hAnsi="Arial" w:cs="Arial"/>
          <w:color w:val="000000"/>
          <w:lang w:eastAsia="en-GB"/>
        </w:rPr>
        <w:t xml:space="preserve"> functionality. The scans reported only two processes running SSH and HTTP. </w:t>
      </w:r>
      <w:r>
        <w:rPr>
          <w:rFonts w:ascii="Arial" w:eastAsia="Times New Roman" w:hAnsi="Arial" w:cs="Arial"/>
          <w:color w:val="000000"/>
          <w:lang w:eastAsia="en-GB"/>
        </w:rPr>
        <w:t>As a result, w</w:t>
      </w:r>
      <w:r w:rsidRPr="003B7B1B">
        <w:rPr>
          <w:rFonts w:ascii="Arial" w:eastAsia="Times New Roman" w:hAnsi="Arial" w:cs="Arial"/>
          <w:color w:val="000000"/>
          <w:lang w:eastAsia="en-GB"/>
        </w:rPr>
        <w:t>e were not left with many directions to pursue, such as SQL injections, SSL/TLS certificate</w:t>
      </w:r>
      <w:r>
        <w:rPr>
          <w:rFonts w:ascii="Arial" w:eastAsia="Times New Roman" w:hAnsi="Arial" w:cs="Arial"/>
          <w:color w:val="000000"/>
          <w:lang w:eastAsia="en-GB"/>
        </w:rPr>
        <w:t>-</w:t>
      </w:r>
      <w:r w:rsidRPr="003B7B1B">
        <w:rPr>
          <w:rFonts w:ascii="Arial" w:eastAsia="Times New Roman" w:hAnsi="Arial" w:cs="Arial"/>
          <w:color w:val="000000"/>
          <w:lang w:eastAsia="en-GB"/>
        </w:rPr>
        <w:t>based vulnerabilities</w:t>
      </w:r>
      <w:r>
        <w:rPr>
          <w:rFonts w:ascii="Arial" w:eastAsia="Times New Roman" w:hAnsi="Arial" w:cs="Arial"/>
          <w:color w:val="000000"/>
          <w:lang w:eastAsia="en-GB"/>
        </w:rPr>
        <w:t xml:space="preserve">, </w:t>
      </w:r>
      <w:r w:rsidRPr="003B7B1B">
        <w:rPr>
          <w:rFonts w:ascii="Arial" w:eastAsia="Times New Roman" w:hAnsi="Arial" w:cs="Arial"/>
          <w:color w:val="000000"/>
          <w:lang w:eastAsia="en-GB"/>
        </w:rPr>
        <w:t>to name some. A full</w:t>
      </w:r>
      <w:r>
        <w:rPr>
          <w:rFonts w:ascii="Arial" w:eastAsia="Times New Roman" w:hAnsi="Arial" w:cs="Arial"/>
          <w:color w:val="000000"/>
          <w:lang w:eastAsia="en-GB"/>
        </w:rPr>
        <w:t>-</w:t>
      </w:r>
      <w:r w:rsidRPr="003B7B1B">
        <w:rPr>
          <w:rFonts w:ascii="Arial" w:eastAsia="Times New Roman" w:hAnsi="Arial" w:cs="Arial"/>
          <w:color w:val="000000"/>
          <w:lang w:eastAsia="en-GB"/>
        </w:rPr>
        <w:t xml:space="preserve">fledged penetration testing could have helped us in validating vulnerabilities. </w:t>
      </w:r>
      <w:r>
        <w:rPr>
          <w:rFonts w:ascii="Arial" w:eastAsia="Times New Roman" w:hAnsi="Arial" w:cs="Arial"/>
          <w:color w:val="000000"/>
          <w:lang w:eastAsia="en-GB"/>
        </w:rPr>
        <w:t>Additionally, a</w:t>
      </w:r>
      <w:r w:rsidRPr="003B7B1B">
        <w:rPr>
          <w:rFonts w:ascii="Arial" w:eastAsia="Times New Roman" w:hAnsi="Arial" w:cs="Arial"/>
          <w:color w:val="000000"/>
          <w:lang w:eastAsia="en-GB"/>
        </w:rPr>
        <w:t>ccess to</w:t>
      </w:r>
      <w:r>
        <w:rPr>
          <w:rFonts w:ascii="Arial" w:eastAsia="Times New Roman" w:hAnsi="Arial" w:cs="Arial"/>
          <w:color w:val="000000"/>
          <w:lang w:eastAsia="en-GB"/>
        </w:rPr>
        <w:t xml:space="preserve"> enterprise assessment</w:t>
      </w:r>
      <w:r w:rsidRPr="003B7B1B">
        <w:rPr>
          <w:rFonts w:ascii="Arial" w:eastAsia="Times New Roman" w:hAnsi="Arial" w:cs="Arial"/>
          <w:color w:val="000000"/>
          <w:lang w:eastAsia="en-GB"/>
        </w:rPr>
        <w:t xml:space="preserve"> tools could have made the scanning process more thorough.</w:t>
      </w:r>
    </w:p>
    <w:p w14:paraId="006683BB" w14:textId="77777777" w:rsidR="003B7B1B" w:rsidRPr="003B7B1B" w:rsidRDefault="003B7B1B" w:rsidP="003B7B1B">
      <w:pPr>
        <w:spacing w:line="240" w:lineRule="auto"/>
        <w:jc w:val="both"/>
        <w:rPr>
          <w:rFonts w:ascii="Times New Roman" w:eastAsia="Times New Roman" w:hAnsi="Times New Roman" w:cs="Times New Roman"/>
          <w:sz w:val="24"/>
          <w:szCs w:val="24"/>
          <w:lang w:eastAsia="en-GB"/>
        </w:rPr>
      </w:pPr>
      <w:r w:rsidRPr="003B7B1B">
        <w:rPr>
          <w:rFonts w:ascii="Arial" w:eastAsia="Times New Roman" w:hAnsi="Arial" w:cs="Arial"/>
          <w:b/>
          <w:bCs/>
          <w:color w:val="000000"/>
          <w:sz w:val="28"/>
          <w:szCs w:val="28"/>
          <w:lang w:eastAsia="en-GB"/>
        </w:rPr>
        <w:lastRenderedPageBreak/>
        <w:t>Conclusion</w:t>
      </w:r>
    </w:p>
    <w:p w14:paraId="77D83FB2" w14:textId="6394E390" w:rsidR="003B7B1B" w:rsidRPr="003B7B1B" w:rsidRDefault="003B7B1B" w:rsidP="003B7B1B">
      <w:pPr>
        <w:spacing w:before="240" w:after="240" w:line="240" w:lineRule="auto"/>
        <w:jc w:val="both"/>
        <w:rPr>
          <w:rFonts w:ascii="Arial" w:eastAsia="Times New Roman" w:hAnsi="Arial" w:cs="Arial"/>
          <w:color w:val="000000"/>
          <w:lang w:eastAsia="en-GB"/>
        </w:rPr>
      </w:pPr>
      <w:r w:rsidRPr="003B7B1B">
        <w:rPr>
          <w:rFonts w:ascii="Arial" w:eastAsia="Times New Roman" w:hAnsi="Arial" w:cs="Arial"/>
          <w:color w:val="000000"/>
          <w:lang w:eastAsia="en-GB"/>
        </w:rPr>
        <w:t xml:space="preserve">The methodology we have used has helped us glean an organised insight while strengthening the understanding of the layered ideology of the TCP/IP thus justifying its popularity in the data networking realm. Kannan et al. (2016) stated that understanding the parts of the network and the relationship between them is essential for a comprehensive network and information security management (NISM) assessment. This focus has allowed us to search for vulnerabilities on each OSI layer (Amos, 2020) and select the appropriate tools for discovering them. </w:t>
      </w:r>
      <w:r>
        <w:rPr>
          <w:rFonts w:ascii="Arial" w:eastAsia="Times New Roman" w:hAnsi="Arial" w:cs="Arial"/>
          <w:color w:val="000000"/>
          <w:lang w:eastAsia="en-GB"/>
        </w:rPr>
        <w:t>Furthermore, t</w:t>
      </w:r>
      <w:r w:rsidRPr="003B7B1B">
        <w:rPr>
          <w:rFonts w:ascii="Arial" w:eastAsia="Times New Roman" w:hAnsi="Arial" w:cs="Arial"/>
          <w:color w:val="000000"/>
          <w:lang w:eastAsia="en-GB"/>
        </w:rPr>
        <w:t xml:space="preserve">he tools and commands that we have used have helped us </w:t>
      </w:r>
      <w:r>
        <w:rPr>
          <w:rFonts w:ascii="Arial" w:eastAsia="Times New Roman" w:hAnsi="Arial" w:cs="Arial"/>
          <w:color w:val="000000"/>
          <w:lang w:eastAsia="en-GB"/>
        </w:rPr>
        <w:t>acquire a good knowledge of penetration testing and NISM assessment fundamentals</w:t>
      </w:r>
      <w:r w:rsidRPr="003B7B1B">
        <w:rPr>
          <w:rFonts w:ascii="Arial" w:eastAsia="Times New Roman" w:hAnsi="Arial" w:cs="Arial"/>
          <w:color w:val="000000"/>
          <w:lang w:eastAsia="en-GB"/>
        </w:rPr>
        <w:t>. </w:t>
      </w:r>
    </w:p>
    <w:p w14:paraId="048DA156" w14:textId="77777777" w:rsidR="003B7B1B" w:rsidRPr="003B7B1B" w:rsidRDefault="003B7B1B" w:rsidP="003B7B1B">
      <w:pPr>
        <w:spacing w:before="240" w:after="240" w:line="240" w:lineRule="auto"/>
        <w:jc w:val="both"/>
        <w:rPr>
          <w:rFonts w:ascii="Arial" w:eastAsia="Times New Roman" w:hAnsi="Arial" w:cs="Arial"/>
          <w:color w:val="000000"/>
          <w:lang w:eastAsia="en-GB"/>
        </w:rPr>
      </w:pPr>
      <w:r w:rsidRPr="003B7B1B">
        <w:rPr>
          <w:rFonts w:ascii="Arial" w:eastAsia="Times New Roman" w:hAnsi="Arial" w:cs="Arial"/>
          <w:color w:val="000000"/>
          <w:lang w:eastAsia="en-GB"/>
        </w:rPr>
        <w:t>The assessment process was focused on discovering vulnerabilities in the provided server. We intend to expand the assessment with information about e-commerce compliance and standards. Compliance standards serve as vital pillars to address the security and privacy requirements inherent to e-commerce websites.</w:t>
      </w:r>
    </w:p>
    <w:p w14:paraId="3E109AA8" w14:textId="18A7F630" w:rsidR="003B7B1B" w:rsidRDefault="003B7B1B" w:rsidP="003B7B1B">
      <w:pPr>
        <w:spacing w:before="240" w:after="240" w:line="240" w:lineRule="auto"/>
        <w:jc w:val="both"/>
        <w:rPr>
          <w:rFonts w:ascii="Arial" w:eastAsia="Times New Roman" w:hAnsi="Arial" w:cs="Arial"/>
          <w:color w:val="000000"/>
          <w:lang w:eastAsia="en-GB"/>
        </w:rPr>
      </w:pPr>
      <w:r w:rsidRPr="003B7B1B">
        <w:rPr>
          <w:rFonts w:ascii="Arial" w:eastAsia="Times New Roman" w:hAnsi="Arial" w:cs="Arial"/>
          <w:color w:val="000000"/>
          <w:lang w:eastAsia="en-GB"/>
        </w:rPr>
        <w:t xml:space="preserve"> According to a United Nations Conference on Trade and Development report (UNCTAD, 2020), most governments have legislation about governance and compliance in e-commerce environments.</w:t>
      </w:r>
      <w:r w:rsidR="00C42077">
        <w:rPr>
          <w:rFonts w:ascii="Arial" w:eastAsia="Times New Roman" w:hAnsi="Arial" w:cs="Arial"/>
          <w:color w:val="000000"/>
          <w:lang w:eastAsia="en-GB"/>
        </w:rPr>
        <w:t xml:space="preserve"> </w:t>
      </w:r>
      <w:r w:rsidRPr="003B7B1B">
        <w:rPr>
          <w:rFonts w:ascii="Arial" w:eastAsia="Times New Roman" w:hAnsi="Arial" w:cs="Arial"/>
          <w:color w:val="000000"/>
          <w:lang w:eastAsia="en-GB"/>
        </w:rPr>
        <w:t>All legislations focus on data protection and privacy and require compliance to GDPR or similar regulations like the California Consumer Privacy Act (CCPA) in the United States. Likewise, the Payment Card Industry Security Standards Council (PCI SSC, N.D.)  has defined standards for creating secure e-commerce products and solutions.</w:t>
      </w:r>
    </w:p>
    <w:p w14:paraId="722DD109" w14:textId="62B93ADB" w:rsidR="003B7B1B" w:rsidRDefault="003B7B1B" w:rsidP="003B7B1B">
      <w:pPr>
        <w:spacing w:before="240" w:after="240" w:line="240" w:lineRule="auto"/>
        <w:jc w:val="both"/>
        <w:rPr>
          <w:rFonts w:ascii="Arial" w:eastAsia="Times New Roman" w:hAnsi="Arial" w:cs="Arial"/>
          <w:color w:val="000000"/>
          <w:lang w:eastAsia="en-GB"/>
        </w:rPr>
      </w:pPr>
    </w:p>
    <w:p w14:paraId="1E0A0529"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0174BF7A" w14:textId="77777777" w:rsidR="003B7B1B" w:rsidRPr="003B7B1B" w:rsidRDefault="003B7B1B" w:rsidP="003B7B1B">
      <w:pPr>
        <w:spacing w:before="240" w:after="0" w:line="240" w:lineRule="auto"/>
        <w:jc w:val="both"/>
        <w:outlineLvl w:val="2"/>
        <w:rPr>
          <w:rFonts w:ascii="Times New Roman" w:eastAsia="Times New Roman" w:hAnsi="Times New Roman" w:cs="Times New Roman"/>
          <w:b/>
          <w:bCs/>
          <w:sz w:val="27"/>
          <w:szCs w:val="27"/>
          <w:lang w:eastAsia="en-GB"/>
        </w:rPr>
      </w:pPr>
      <w:r w:rsidRPr="003B7B1B">
        <w:rPr>
          <w:rFonts w:ascii="Arial" w:eastAsia="Times New Roman" w:hAnsi="Arial" w:cs="Arial"/>
          <w:b/>
          <w:bCs/>
          <w:color w:val="000000"/>
          <w:sz w:val="28"/>
          <w:szCs w:val="28"/>
          <w:lang w:eastAsia="en-GB"/>
        </w:rPr>
        <w:t>References</w:t>
      </w:r>
    </w:p>
    <w:p w14:paraId="76E26D08"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677DB135"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Amos, J. (2020) 7 Layers of Cybersecurity Threats in the ISO-OSI Model. Available from: https://training.nhlearninggroup.com/blog/7-layers-of-cybersecurity-threats-in-the-iso-osi-model [Accessed 9 June 2021].</w:t>
      </w:r>
    </w:p>
    <w:p w14:paraId="5C0439CF"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292AA832"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Kannan, U., </w:t>
      </w:r>
      <w:proofErr w:type="spellStart"/>
      <w:r w:rsidRPr="003B7B1B">
        <w:rPr>
          <w:rFonts w:ascii="Arial" w:eastAsia="Times New Roman" w:hAnsi="Arial" w:cs="Arial"/>
          <w:color w:val="000000"/>
          <w:sz w:val="20"/>
          <w:szCs w:val="20"/>
          <w:lang w:eastAsia="en-GB"/>
        </w:rPr>
        <w:t>Swamidurai</w:t>
      </w:r>
      <w:proofErr w:type="spellEnd"/>
      <w:r w:rsidRPr="003B7B1B">
        <w:rPr>
          <w:rFonts w:ascii="Arial" w:eastAsia="Times New Roman" w:hAnsi="Arial" w:cs="Arial"/>
          <w:color w:val="000000"/>
          <w:sz w:val="20"/>
          <w:szCs w:val="20"/>
          <w:lang w:eastAsia="en-GB"/>
        </w:rPr>
        <w:t xml:space="preserve">, R., &amp; </w:t>
      </w:r>
      <w:proofErr w:type="spellStart"/>
      <w:r w:rsidRPr="003B7B1B">
        <w:rPr>
          <w:rFonts w:ascii="Arial" w:eastAsia="Times New Roman" w:hAnsi="Arial" w:cs="Arial"/>
          <w:color w:val="000000"/>
          <w:sz w:val="20"/>
          <w:szCs w:val="20"/>
          <w:lang w:eastAsia="en-GB"/>
        </w:rPr>
        <w:t>Umphress</w:t>
      </w:r>
      <w:proofErr w:type="spellEnd"/>
      <w:r w:rsidRPr="003B7B1B">
        <w:rPr>
          <w:rFonts w:ascii="Arial" w:eastAsia="Times New Roman" w:hAnsi="Arial" w:cs="Arial"/>
          <w:color w:val="000000"/>
          <w:sz w:val="20"/>
          <w:szCs w:val="20"/>
          <w:lang w:eastAsia="en-GB"/>
        </w:rPr>
        <w:t xml:space="preserve">, D. (2016) System Dynamics as a Tool for </w:t>
      </w:r>
      <w:proofErr w:type="spellStart"/>
      <w:r w:rsidRPr="003B7B1B">
        <w:rPr>
          <w:rFonts w:ascii="Arial" w:eastAsia="Times New Roman" w:hAnsi="Arial" w:cs="Arial"/>
          <w:color w:val="000000"/>
          <w:sz w:val="20"/>
          <w:szCs w:val="20"/>
          <w:lang w:eastAsia="en-GB"/>
        </w:rPr>
        <w:t>Modeling</w:t>
      </w:r>
      <w:proofErr w:type="spellEnd"/>
      <w:r w:rsidRPr="003B7B1B">
        <w:rPr>
          <w:rFonts w:ascii="Arial" w:eastAsia="Times New Roman" w:hAnsi="Arial" w:cs="Arial"/>
          <w:color w:val="000000"/>
          <w:sz w:val="20"/>
          <w:szCs w:val="20"/>
          <w:lang w:eastAsia="en-GB"/>
        </w:rPr>
        <w:t xml:space="preserve"> Application Layer Cyber Security. Available from: https://worldcomp-proceedings.com/proc/p2016/MSV3723.pdf [Accessed 10 June 2021]. </w:t>
      </w:r>
    </w:p>
    <w:p w14:paraId="64835284" w14:textId="77777777" w:rsidR="003B7B1B" w:rsidRPr="003B7B1B" w:rsidRDefault="003B7B1B" w:rsidP="003B7B1B">
      <w:pPr>
        <w:spacing w:before="240"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PCI Security Standards Council (N.D.) PCI Security Standards Overview. Available from: https://www.pcisecuritystandards.org/pci_security/standards_overview [Accessed 13 June 2021].</w:t>
      </w:r>
    </w:p>
    <w:p w14:paraId="1D016F51" w14:textId="77777777" w:rsidR="003B7B1B" w:rsidRPr="003B7B1B" w:rsidRDefault="003B7B1B" w:rsidP="003B7B1B">
      <w:pPr>
        <w:spacing w:before="240"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Russell, A.L. (2013) OSI: The Internet That Wasn’t - IEEE Spectrum. Available from: https://spectrum.ieee.org/tech-history/cyberspace/osi-the-internet-that-wasnt [Accessed 5 June 2021].</w:t>
      </w:r>
    </w:p>
    <w:p w14:paraId="5B183657" w14:textId="77777777" w:rsidR="003B7B1B" w:rsidRPr="003B7B1B" w:rsidRDefault="003B7B1B" w:rsidP="003B7B1B">
      <w:pPr>
        <w:spacing w:before="240"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UNCTAD (2020) Summary of Adoption of E-Commerce Legislation Worldwide. Available from:  ‌https://unctad.org/topic/ecommerce-and-digital-economy/ecommerce-law-reform/summary-adoption-e-commerce-legislation-worldwide [Accessed 5 June 2021].</w:t>
      </w:r>
    </w:p>
    <w:p w14:paraId="4AE97F1F" w14:textId="77777777" w:rsidR="003B7B1B" w:rsidRPr="003B7B1B" w:rsidRDefault="003B7B1B" w:rsidP="003B7B1B">
      <w:pPr>
        <w:spacing w:before="240" w:after="0" w:line="240" w:lineRule="auto"/>
        <w:rPr>
          <w:rFonts w:ascii="Times New Roman" w:eastAsia="Times New Roman" w:hAnsi="Times New Roman" w:cs="Times New Roman"/>
          <w:sz w:val="24"/>
          <w:szCs w:val="24"/>
          <w:lang w:eastAsia="en-GB"/>
        </w:rPr>
      </w:pPr>
      <w:r w:rsidRPr="003B7B1B">
        <w:rPr>
          <w:rFonts w:ascii="Arial" w:eastAsia="Times New Roman" w:hAnsi="Arial" w:cs="Arial"/>
          <w:b/>
          <w:bCs/>
          <w:color w:val="000000"/>
          <w:sz w:val="28"/>
          <w:szCs w:val="28"/>
          <w:lang w:eastAsia="en-GB"/>
        </w:rPr>
        <w:t>Bibliography</w:t>
      </w:r>
    </w:p>
    <w:p w14:paraId="7ABEA817"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p>
    <w:p w14:paraId="7F4386C4"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Geer, D. (2015) </w:t>
      </w:r>
      <w:r w:rsidRPr="003B7B1B">
        <w:rPr>
          <w:rFonts w:ascii="Arial" w:eastAsia="Times New Roman" w:hAnsi="Arial" w:cs="Arial"/>
          <w:i/>
          <w:iCs/>
          <w:color w:val="000000"/>
          <w:sz w:val="20"/>
          <w:szCs w:val="20"/>
          <w:lang w:eastAsia="en-GB"/>
        </w:rPr>
        <w:t>8 penetration testing tools that will do the job | Network World</w:t>
      </w:r>
      <w:r w:rsidRPr="003B7B1B">
        <w:rPr>
          <w:rFonts w:ascii="Arial" w:eastAsia="Times New Roman" w:hAnsi="Arial" w:cs="Arial"/>
          <w:color w:val="000000"/>
          <w:sz w:val="20"/>
          <w:szCs w:val="20"/>
          <w:lang w:eastAsia="en-GB"/>
        </w:rPr>
        <w:t>. Available from: https://www.networkworld.com/article/2944811/8-penetration-testing-tools-that-will-do-the-job.html [Accessed 14 June 2021].</w:t>
      </w:r>
    </w:p>
    <w:p w14:paraId="5C961CB0" w14:textId="77777777" w:rsidR="003B7B1B" w:rsidRPr="003B7B1B" w:rsidRDefault="003B7B1B" w:rsidP="003B7B1B">
      <w:pPr>
        <w:spacing w:before="240"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lastRenderedPageBreak/>
        <w:t>Greenbone Networks GmbH (N.D.)</w:t>
      </w:r>
      <w:r w:rsidRPr="003B7B1B">
        <w:rPr>
          <w:rFonts w:ascii="Arial" w:eastAsia="Times New Roman" w:hAnsi="Arial" w:cs="Arial"/>
          <w:i/>
          <w:iCs/>
          <w:color w:val="000000"/>
          <w:sz w:val="20"/>
          <w:szCs w:val="20"/>
          <w:lang w:eastAsia="en-GB"/>
        </w:rPr>
        <w:t xml:space="preserve"> OpenVAS - Open Vulnerability Assessment Scanner</w:t>
      </w:r>
      <w:r w:rsidRPr="003B7B1B">
        <w:rPr>
          <w:rFonts w:ascii="Arial" w:eastAsia="Times New Roman" w:hAnsi="Arial" w:cs="Arial"/>
          <w:color w:val="000000"/>
          <w:sz w:val="20"/>
          <w:szCs w:val="20"/>
          <w:lang w:eastAsia="en-GB"/>
        </w:rPr>
        <w:t>. Available from: https://www.openvas.org/#about [Accessed 6 June 2021].</w:t>
      </w:r>
    </w:p>
    <w:p w14:paraId="05D78626" w14:textId="77777777" w:rsidR="003B7B1B" w:rsidRPr="003B7B1B" w:rsidRDefault="003B7B1B" w:rsidP="003B7B1B">
      <w:pPr>
        <w:spacing w:before="240" w:after="24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Gordon, L. (N.D.) </w:t>
      </w:r>
      <w:r w:rsidRPr="003B7B1B">
        <w:rPr>
          <w:rFonts w:ascii="Arial" w:eastAsia="Times New Roman" w:hAnsi="Arial" w:cs="Arial"/>
          <w:i/>
          <w:iCs/>
          <w:color w:val="000000"/>
          <w:sz w:val="20"/>
          <w:szCs w:val="20"/>
          <w:lang w:eastAsia="en-GB"/>
        </w:rPr>
        <w:t xml:space="preserve">Nmap: </w:t>
      </w:r>
      <w:proofErr w:type="gramStart"/>
      <w:r w:rsidRPr="003B7B1B">
        <w:rPr>
          <w:rFonts w:ascii="Arial" w:eastAsia="Times New Roman" w:hAnsi="Arial" w:cs="Arial"/>
          <w:i/>
          <w:iCs/>
          <w:color w:val="000000"/>
          <w:sz w:val="20"/>
          <w:szCs w:val="20"/>
          <w:lang w:eastAsia="en-GB"/>
        </w:rPr>
        <w:t>the</w:t>
      </w:r>
      <w:proofErr w:type="gramEnd"/>
      <w:r w:rsidRPr="003B7B1B">
        <w:rPr>
          <w:rFonts w:ascii="Arial" w:eastAsia="Times New Roman" w:hAnsi="Arial" w:cs="Arial"/>
          <w:i/>
          <w:iCs/>
          <w:color w:val="000000"/>
          <w:sz w:val="20"/>
          <w:szCs w:val="20"/>
          <w:lang w:eastAsia="en-GB"/>
        </w:rPr>
        <w:t xml:space="preserve"> Network Mapper - Free Security Scanner</w:t>
      </w:r>
      <w:r w:rsidRPr="003B7B1B">
        <w:rPr>
          <w:rFonts w:ascii="Arial" w:eastAsia="Times New Roman" w:hAnsi="Arial" w:cs="Arial"/>
          <w:color w:val="000000"/>
          <w:sz w:val="20"/>
          <w:szCs w:val="20"/>
          <w:lang w:eastAsia="en-GB"/>
        </w:rPr>
        <w:t>. Available from: https://nmap.org/ [Accessed 8 June 2021].</w:t>
      </w:r>
    </w:p>
    <w:p w14:paraId="38421D19" w14:textId="77777777" w:rsidR="003B7B1B" w:rsidRPr="003B7B1B" w:rsidRDefault="003B7B1B" w:rsidP="003B7B1B">
      <w:pPr>
        <w:spacing w:after="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OWASP Foundation Inc. (N.D.) </w:t>
      </w:r>
      <w:r w:rsidRPr="003B7B1B">
        <w:rPr>
          <w:rFonts w:ascii="Arial" w:eastAsia="Times New Roman" w:hAnsi="Arial" w:cs="Arial"/>
          <w:i/>
          <w:iCs/>
          <w:color w:val="000000"/>
          <w:sz w:val="20"/>
          <w:szCs w:val="20"/>
          <w:lang w:eastAsia="en-GB"/>
        </w:rPr>
        <w:t>OWASP Top Ten Web Application Security Risks</w:t>
      </w:r>
      <w:r w:rsidRPr="003B7B1B">
        <w:rPr>
          <w:rFonts w:ascii="Arial" w:eastAsia="Times New Roman" w:hAnsi="Arial" w:cs="Arial"/>
          <w:color w:val="000000"/>
          <w:sz w:val="20"/>
          <w:szCs w:val="20"/>
          <w:lang w:eastAsia="en-GB"/>
        </w:rPr>
        <w:t>. Available from: https://owasp.org/www-project-top-ten/ [Accessed 7 June 2021].</w:t>
      </w:r>
    </w:p>
    <w:p w14:paraId="5B6311E3" w14:textId="77777777" w:rsidR="003B7B1B" w:rsidRPr="003B7B1B" w:rsidRDefault="003B7B1B" w:rsidP="003B7B1B">
      <w:pPr>
        <w:spacing w:before="240" w:after="24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OWASP Foundation Inc. (N.D.) </w:t>
      </w:r>
      <w:r w:rsidRPr="003B7B1B">
        <w:rPr>
          <w:rFonts w:ascii="Arial" w:eastAsia="Times New Roman" w:hAnsi="Arial" w:cs="Arial"/>
          <w:i/>
          <w:iCs/>
          <w:color w:val="000000"/>
          <w:sz w:val="20"/>
          <w:szCs w:val="20"/>
          <w:lang w:eastAsia="en-GB"/>
        </w:rPr>
        <w:t>OWASP ZAP Zed Attack Proxy | OWASP</w:t>
      </w:r>
      <w:r w:rsidRPr="003B7B1B">
        <w:rPr>
          <w:rFonts w:ascii="Arial" w:eastAsia="Times New Roman" w:hAnsi="Arial" w:cs="Arial"/>
          <w:color w:val="000000"/>
          <w:sz w:val="20"/>
          <w:szCs w:val="20"/>
          <w:lang w:eastAsia="en-GB"/>
        </w:rPr>
        <w:t>. Available from: https://owasp.org/www-project-zap/ [Accessed 10 June 2021].</w:t>
      </w:r>
    </w:p>
    <w:p w14:paraId="02B20816" w14:textId="77777777" w:rsidR="003B7B1B" w:rsidRPr="003B7B1B" w:rsidRDefault="003B7B1B" w:rsidP="003B7B1B">
      <w:pPr>
        <w:spacing w:before="240" w:after="24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Rapid7 Inc. (N.D.) </w:t>
      </w:r>
      <w:r w:rsidRPr="003B7B1B">
        <w:rPr>
          <w:rFonts w:ascii="Arial" w:eastAsia="Times New Roman" w:hAnsi="Arial" w:cs="Arial"/>
          <w:i/>
          <w:iCs/>
          <w:color w:val="000000"/>
          <w:sz w:val="20"/>
          <w:szCs w:val="20"/>
          <w:lang w:eastAsia="en-GB"/>
        </w:rPr>
        <w:t>Metasploit | Penetration Testing Software, Pen Testing Security | Metasploit</w:t>
      </w:r>
      <w:r w:rsidRPr="003B7B1B">
        <w:rPr>
          <w:rFonts w:ascii="Arial" w:eastAsia="Times New Roman" w:hAnsi="Arial" w:cs="Arial"/>
          <w:color w:val="000000"/>
          <w:sz w:val="20"/>
          <w:szCs w:val="20"/>
          <w:lang w:eastAsia="en-GB"/>
        </w:rPr>
        <w:t>. Available from: https://www.metasploit.com/ [Accessed 11 June 2021].</w:t>
      </w:r>
    </w:p>
    <w:p w14:paraId="02ECE693" w14:textId="77777777" w:rsidR="003B7B1B" w:rsidRPr="003B7B1B" w:rsidRDefault="003B7B1B" w:rsidP="003B7B1B">
      <w:pPr>
        <w:spacing w:before="240" w:after="240" w:line="240" w:lineRule="auto"/>
        <w:rPr>
          <w:rFonts w:ascii="Times New Roman" w:eastAsia="Times New Roman" w:hAnsi="Times New Roman" w:cs="Times New Roman"/>
          <w:sz w:val="24"/>
          <w:szCs w:val="24"/>
          <w:lang w:eastAsia="en-GB"/>
        </w:rPr>
      </w:pPr>
      <w:proofErr w:type="spellStart"/>
      <w:r w:rsidRPr="003B7B1B">
        <w:rPr>
          <w:rFonts w:ascii="Arial" w:eastAsia="Times New Roman" w:hAnsi="Arial" w:cs="Arial"/>
          <w:color w:val="000000"/>
          <w:sz w:val="20"/>
          <w:szCs w:val="20"/>
          <w:lang w:eastAsia="en-GB"/>
        </w:rPr>
        <w:t>Sullo</w:t>
      </w:r>
      <w:proofErr w:type="spellEnd"/>
      <w:r w:rsidRPr="003B7B1B">
        <w:rPr>
          <w:rFonts w:ascii="Arial" w:eastAsia="Times New Roman" w:hAnsi="Arial" w:cs="Arial"/>
          <w:color w:val="000000"/>
          <w:sz w:val="20"/>
          <w:szCs w:val="20"/>
          <w:lang w:eastAsia="en-GB"/>
        </w:rPr>
        <w:t xml:space="preserve">, C. (N.D.) </w:t>
      </w:r>
      <w:r w:rsidRPr="003B7B1B">
        <w:rPr>
          <w:rFonts w:ascii="Arial" w:eastAsia="Times New Roman" w:hAnsi="Arial" w:cs="Arial"/>
          <w:i/>
          <w:iCs/>
          <w:color w:val="000000"/>
          <w:sz w:val="20"/>
          <w:szCs w:val="20"/>
          <w:lang w:eastAsia="en-GB"/>
        </w:rPr>
        <w:t>Nikto2 | CIRT.net</w:t>
      </w:r>
      <w:r w:rsidRPr="003B7B1B">
        <w:rPr>
          <w:rFonts w:ascii="Arial" w:eastAsia="Times New Roman" w:hAnsi="Arial" w:cs="Arial"/>
          <w:color w:val="000000"/>
          <w:sz w:val="20"/>
          <w:szCs w:val="20"/>
          <w:lang w:eastAsia="en-GB"/>
        </w:rPr>
        <w:t>. Available from: https://cirt.net/Nikto2 [Accessed 9 June 2021].</w:t>
      </w:r>
    </w:p>
    <w:p w14:paraId="555639D2" w14:textId="77777777" w:rsidR="003B7B1B" w:rsidRPr="003B7B1B" w:rsidRDefault="003B7B1B" w:rsidP="003B7B1B">
      <w:pPr>
        <w:spacing w:before="240" w:after="240" w:line="240" w:lineRule="auto"/>
        <w:rPr>
          <w:rFonts w:ascii="Times New Roman" w:eastAsia="Times New Roman" w:hAnsi="Times New Roman" w:cs="Times New Roman"/>
          <w:sz w:val="24"/>
          <w:szCs w:val="24"/>
          <w:lang w:eastAsia="en-GB"/>
        </w:rPr>
      </w:pPr>
      <w:r w:rsidRPr="003B7B1B">
        <w:rPr>
          <w:rFonts w:ascii="Arial" w:eastAsia="Times New Roman" w:hAnsi="Arial" w:cs="Arial"/>
          <w:color w:val="000000"/>
          <w:sz w:val="20"/>
          <w:szCs w:val="20"/>
          <w:lang w:eastAsia="en-GB"/>
        </w:rPr>
        <w:t xml:space="preserve">Wireshark Foundation (N.D.) </w:t>
      </w:r>
      <w:r w:rsidRPr="003B7B1B">
        <w:rPr>
          <w:rFonts w:ascii="Arial" w:eastAsia="Times New Roman" w:hAnsi="Arial" w:cs="Arial"/>
          <w:i/>
          <w:iCs/>
          <w:color w:val="000000"/>
          <w:sz w:val="20"/>
          <w:szCs w:val="20"/>
          <w:lang w:eastAsia="en-GB"/>
        </w:rPr>
        <w:t>Wireshark · Go Deep</w:t>
      </w:r>
      <w:proofErr w:type="gramStart"/>
      <w:r w:rsidRPr="003B7B1B">
        <w:rPr>
          <w:rFonts w:ascii="Arial" w:eastAsia="Times New Roman" w:hAnsi="Arial" w:cs="Arial"/>
          <w:i/>
          <w:iCs/>
          <w:color w:val="000000"/>
          <w:sz w:val="20"/>
          <w:szCs w:val="20"/>
          <w:lang w:eastAsia="en-GB"/>
        </w:rPr>
        <w:t>.</w:t>
      </w:r>
      <w:r w:rsidRPr="003B7B1B">
        <w:rPr>
          <w:rFonts w:ascii="Arial" w:eastAsia="Times New Roman" w:hAnsi="Arial" w:cs="Arial"/>
          <w:color w:val="000000"/>
          <w:sz w:val="20"/>
          <w:szCs w:val="20"/>
          <w:lang w:eastAsia="en-GB"/>
        </w:rPr>
        <w:t xml:space="preserve"> .</w:t>
      </w:r>
      <w:proofErr w:type="gramEnd"/>
      <w:r w:rsidRPr="003B7B1B">
        <w:rPr>
          <w:rFonts w:ascii="Arial" w:eastAsia="Times New Roman" w:hAnsi="Arial" w:cs="Arial"/>
          <w:color w:val="000000"/>
          <w:sz w:val="20"/>
          <w:szCs w:val="20"/>
          <w:lang w:eastAsia="en-GB"/>
        </w:rPr>
        <w:t xml:space="preserve"> Available from: https://www.wireshark.org/ [Accessed 11 June 2021].</w:t>
      </w:r>
    </w:p>
    <w:p w14:paraId="67F50267" w14:textId="77777777" w:rsidR="00A1370E" w:rsidRPr="003B7B1B" w:rsidRDefault="00A1370E" w:rsidP="003B7B1B"/>
    <w:sectPr w:rsidR="00A1370E" w:rsidRPr="003B7B1B" w:rsidSect="00C45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NzSwtDAwNzU1NzdR0lEKTi0uzszPAykwrAUAMpQCnCwAAAA="/>
  </w:docVars>
  <w:rsids>
    <w:rsidRoot w:val="003B7B1B"/>
    <w:rsid w:val="0036599D"/>
    <w:rsid w:val="003B7B1B"/>
    <w:rsid w:val="00A1370E"/>
    <w:rsid w:val="00C42077"/>
    <w:rsid w:val="00C45A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6F57"/>
  <w15:chartTrackingRefBased/>
  <w15:docId w15:val="{17C8A6B6-997C-49FE-BBAB-D663B6C2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7B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3B7B1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B1B"/>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3B7B1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3B7B1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1460</Words>
  <Characters>8328</Characters>
  <Application>Microsoft Office Word</Application>
  <DocSecurity>0</DocSecurity>
  <Lines>69</Lines>
  <Paragraphs>19</Paragraphs>
  <ScaleCrop>false</ScaleCrop>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Spiros</dc:creator>
  <cp:keywords/>
  <dc:description/>
  <cp:lastModifiedBy>Spiros</cp:lastModifiedBy>
  <cp:revision>5</cp:revision>
  <dcterms:created xsi:type="dcterms:W3CDTF">2021-06-14T19:04:00Z</dcterms:created>
  <dcterms:modified xsi:type="dcterms:W3CDTF">2021-06-14T20:06:00Z</dcterms:modified>
</cp:coreProperties>
</file>