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1804" w14:textId="0D2DB326" w:rsidR="00EC3394" w:rsidRPr="00054E92" w:rsidRDefault="00EC3394">
      <w:pPr>
        <w:rPr>
          <w:rFonts w:cstheme="minorHAnsi"/>
        </w:rPr>
      </w:pPr>
      <w:r w:rsidRPr="00054E92">
        <w:rPr>
          <w:rFonts w:cstheme="minorHAnsi"/>
        </w:rPr>
        <w:t xml:space="preserve">The goal of this discussion is to see how </w:t>
      </w:r>
      <w:r w:rsidR="00F34833" w:rsidRPr="00054E92">
        <w:rPr>
          <w:rFonts w:cstheme="minorHAnsi"/>
        </w:rPr>
        <w:t xml:space="preserve">IT </w:t>
      </w:r>
      <w:r w:rsidR="00054E92" w:rsidRPr="00054E92">
        <w:rPr>
          <w:rFonts w:cstheme="minorHAnsi"/>
        </w:rPr>
        <w:t>professionals’</w:t>
      </w:r>
      <w:r w:rsidR="00F34833" w:rsidRPr="00054E92">
        <w:rPr>
          <w:rFonts w:cstheme="minorHAnsi"/>
        </w:rPr>
        <w:t xml:space="preserve"> </w:t>
      </w:r>
      <w:r w:rsidRPr="00054E92">
        <w:rPr>
          <w:rFonts w:cstheme="minorHAnsi"/>
        </w:rPr>
        <w:t xml:space="preserve">ethical guidelines defined </w:t>
      </w:r>
      <w:r w:rsidR="00F34833" w:rsidRPr="00054E92">
        <w:rPr>
          <w:rFonts w:cstheme="minorHAnsi"/>
        </w:rPr>
        <w:t>by</w:t>
      </w:r>
      <w:r w:rsidRPr="00054E92">
        <w:rPr>
          <w:rFonts w:cstheme="minorHAnsi"/>
        </w:rPr>
        <w:t xml:space="preserve"> </w:t>
      </w:r>
      <w:r w:rsidR="004C6B91" w:rsidRPr="00054E92">
        <w:rPr>
          <w:rFonts w:cstheme="minorHAnsi"/>
        </w:rPr>
        <w:t xml:space="preserve">two different organisations (the ACM Code of Ethics and Professional Conduct and the BCS Code of Conduct) </w:t>
      </w:r>
      <w:r w:rsidRPr="00054E92">
        <w:rPr>
          <w:rFonts w:cstheme="minorHAnsi"/>
        </w:rPr>
        <w:t xml:space="preserve">are applied in </w:t>
      </w:r>
      <w:r w:rsidR="004C6B91" w:rsidRPr="00054E92">
        <w:rPr>
          <w:rFonts w:cstheme="minorHAnsi"/>
        </w:rPr>
        <w:t>real</w:t>
      </w:r>
      <w:r w:rsidRPr="00054E92">
        <w:rPr>
          <w:rFonts w:cstheme="minorHAnsi"/>
        </w:rPr>
        <w:t xml:space="preserve"> cases. The case study I chose is the Medical Implant Risk Analysis</w:t>
      </w:r>
      <w:r w:rsidR="004C6B91" w:rsidRPr="00054E92">
        <w:rPr>
          <w:rFonts w:cstheme="minorHAnsi"/>
        </w:rPr>
        <w:t xml:space="preserve"> about a researcher that </w:t>
      </w:r>
      <w:r w:rsidR="00F34833" w:rsidRPr="00054E92">
        <w:rPr>
          <w:rFonts w:cstheme="minorHAnsi"/>
        </w:rPr>
        <w:t>found a vulnerability in a medical device and</w:t>
      </w:r>
      <w:r w:rsidR="00EC4C3F" w:rsidRPr="00054E92">
        <w:rPr>
          <w:rFonts w:cstheme="minorHAnsi"/>
        </w:rPr>
        <w:t xml:space="preserve"> </w:t>
      </w:r>
      <w:r w:rsidR="00F34833" w:rsidRPr="00054E92">
        <w:rPr>
          <w:rFonts w:cstheme="minorHAnsi"/>
        </w:rPr>
        <w:t>provided th</w:t>
      </w:r>
      <w:r w:rsidR="00EC4C3F" w:rsidRPr="00054E92">
        <w:rPr>
          <w:rFonts w:cstheme="minorHAnsi"/>
        </w:rPr>
        <w:t>e</w:t>
      </w:r>
      <w:r w:rsidR="00F34833" w:rsidRPr="00054E92">
        <w:rPr>
          <w:rFonts w:cstheme="minorHAnsi"/>
        </w:rPr>
        <w:t xml:space="preserve"> information to the manufacturer so that they could evaluate the risk associated.</w:t>
      </w:r>
      <w:r w:rsidR="00EC4C3F" w:rsidRPr="00054E92">
        <w:rPr>
          <w:rFonts w:cstheme="minorHAnsi"/>
        </w:rPr>
        <w:t xml:space="preserve"> The table below shows the principles followed by the researcher and the company.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1795"/>
        <w:gridCol w:w="4246"/>
      </w:tblGrid>
      <w:tr w:rsidR="00054E92" w:rsidRPr="00054E92" w14:paraId="77FDCD42" w14:textId="77777777" w:rsidTr="00054E92">
        <w:tc>
          <w:tcPr>
            <w:tcW w:w="3019" w:type="dxa"/>
          </w:tcPr>
          <w:p w14:paraId="3197BA82" w14:textId="13A60687" w:rsidR="00EC4C3F" w:rsidRPr="00054E92" w:rsidRDefault="00EC4C3F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Action</w:t>
            </w:r>
          </w:p>
        </w:tc>
        <w:tc>
          <w:tcPr>
            <w:tcW w:w="1795" w:type="dxa"/>
          </w:tcPr>
          <w:p w14:paraId="24DAD5E9" w14:textId="565ED250" w:rsidR="00EC4C3F" w:rsidRPr="00054E92" w:rsidRDefault="00EC4C3F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ACM Code</w:t>
            </w:r>
          </w:p>
        </w:tc>
        <w:tc>
          <w:tcPr>
            <w:tcW w:w="4246" w:type="dxa"/>
          </w:tcPr>
          <w:p w14:paraId="7A4D0676" w14:textId="4163F297" w:rsidR="00EC4C3F" w:rsidRPr="00054E92" w:rsidRDefault="00EC4C3F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BSC Code</w:t>
            </w:r>
          </w:p>
        </w:tc>
      </w:tr>
      <w:tr w:rsidR="00054E92" w:rsidRPr="00054E92" w14:paraId="0D7CEF6E" w14:textId="77777777" w:rsidTr="00054E92">
        <w:tc>
          <w:tcPr>
            <w:tcW w:w="3019" w:type="dxa"/>
          </w:tcPr>
          <w:p w14:paraId="5EB8487F" w14:textId="158D4726" w:rsidR="00EC4C3F" w:rsidRPr="00054E92" w:rsidRDefault="00345EC8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The company made the medical devices available to people without means through various charity organisations.</w:t>
            </w:r>
          </w:p>
        </w:tc>
        <w:tc>
          <w:tcPr>
            <w:tcW w:w="1795" w:type="dxa"/>
          </w:tcPr>
          <w:p w14:paraId="5EC22326" w14:textId="25E827AB" w:rsidR="00EC4C3F" w:rsidRPr="00054E92" w:rsidRDefault="00345EC8">
            <w:pPr>
              <w:rPr>
                <w:rFonts w:cstheme="minorHAnsi"/>
              </w:rPr>
            </w:pPr>
            <w:r w:rsidRPr="00054E92">
              <w:rPr>
                <w:rFonts w:cstheme="minorHAnsi"/>
                <w:shd w:val="clear" w:color="auto" w:fill="FFFFFF"/>
              </w:rPr>
              <w:t>Principle 1.1</w:t>
            </w:r>
          </w:p>
        </w:tc>
        <w:tc>
          <w:tcPr>
            <w:tcW w:w="4246" w:type="dxa"/>
          </w:tcPr>
          <w:p w14:paraId="33D8BE60" w14:textId="5033F3D5" w:rsidR="00345EC8" w:rsidRPr="00054E92" w:rsidRDefault="00345EC8" w:rsidP="00345EC8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1. Public Interest</w:t>
            </w:r>
          </w:p>
          <w:p w14:paraId="58CB620A" w14:textId="698454CA" w:rsidR="00EC4C3F" w:rsidRPr="00054E92" w:rsidRDefault="00345EC8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a. have due regard for public health, privacy, security and wellbeing of others and</w:t>
            </w:r>
            <w:r w:rsidR="00054E92" w:rsidRPr="00054E92">
              <w:rPr>
                <w:rFonts w:cstheme="minorHAnsi"/>
              </w:rPr>
              <w:t xml:space="preserve"> </w:t>
            </w:r>
            <w:r w:rsidRPr="00054E92">
              <w:rPr>
                <w:rFonts w:cstheme="minorHAnsi"/>
              </w:rPr>
              <w:t>the environment.</w:t>
            </w:r>
          </w:p>
        </w:tc>
      </w:tr>
      <w:tr w:rsidR="00054E92" w:rsidRPr="00054E92" w14:paraId="06FF55B6" w14:textId="77777777" w:rsidTr="00054E92">
        <w:tc>
          <w:tcPr>
            <w:tcW w:w="3019" w:type="dxa"/>
          </w:tcPr>
          <w:p w14:paraId="0CFA019E" w14:textId="4F40A1A7" w:rsidR="00EC4C3F" w:rsidRPr="00054E92" w:rsidRDefault="00194BFC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 xml:space="preserve">The medical device was approved by multiple countries regulation </w:t>
            </w:r>
            <w:r w:rsidR="00870BF1" w:rsidRPr="00054E92">
              <w:rPr>
                <w:rFonts w:cstheme="minorHAnsi"/>
              </w:rPr>
              <w:t>agencies.</w:t>
            </w:r>
          </w:p>
        </w:tc>
        <w:tc>
          <w:tcPr>
            <w:tcW w:w="1795" w:type="dxa"/>
          </w:tcPr>
          <w:p w14:paraId="6E1CB5C8" w14:textId="654B568F" w:rsidR="00EC4C3F" w:rsidRPr="00054E92" w:rsidRDefault="00194BFC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Principle 2.3</w:t>
            </w:r>
          </w:p>
        </w:tc>
        <w:tc>
          <w:tcPr>
            <w:tcW w:w="4246" w:type="dxa"/>
          </w:tcPr>
          <w:p w14:paraId="3A444145" w14:textId="77777777" w:rsidR="00194BFC" w:rsidRPr="00054E92" w:rsidRDefault="00194BFC" w:rsidP="00194BFC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2. Professional Competence and Integrity</w:t>
            </w:r>
          </w:p>
          <w:p w14:paraId="24BB3B4C" w14:textId="7FA50B39" w:rsidR="00EC4C3F" w:rsidRPr="00054E92" w:rsidRDefault="00194BFC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d. ensure that you have the knowledge and understanding of Legislation* and that</w:t>
            </w:r>
            <w:r w:rsidR="00054E92" w:rsidRPr="00054E92">
              <w:rPr>
                <w:rFonts w:cstheme="minorHAnsi"/>
              </w:rPr>
              <w:t xml:space="preserve"> </w:t>
            </w:r>
            <w:r w:rsidRPr="00054E92">
              <w:rPr>
                <w:rFonts w:cstheme="minorHAnsi"/>
              </w:rPr>
              <w:t>you comply with such Legislation, in carrying out your professional</w:t>
            </w:r>
            <w:r w:rsidR="00054E92" w:rsidRPr="00054E92">
              <w:rPr>
                <w:rFonts w:cstheme="minorHAnsi"/>
              </w:rPr>
              <w:t xml:space="preserve"> </w:t>
            </w:r>
            <w:r w:rsidRPr="00054E92">
              <w:rPr>
                <w:rFonts w:cstheme="minorHAnsi"/>
              </w:rPr>
              <w:t>responsibilities.</w:t>
            </w:r>
          </w:p>
          <w:p w14:paraId="5FE1F830" w14:textId="77777777" w:rsidR="00054E92" w:rsidRPr="00054E92" w:rsidRDefault="00054E92" w:rsidP="00194BFC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3. Duty to Relevant Authority</w:t>
            </w:r>
          </w:p>
          <w:p w14:paraId="5E769A03" w14:textId="0C52CF28" w:rsidR="00054E92" w:rsidRPr="00054E92" w:rsidRDefault="00054E92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a. carry out your professional responsibilities with due care and diligence in accordance with the Relevant Authority’s requirements whilst exercising your professional judgement at all times.</w:t>
            </w:r>
          </w:p>
        </w:tc>
      </w:tr>
      <w:tr w:rsidR="00054E92" w:rsidRPr="00054E92" w14:paraId="0CC8312E" w14:textId="77777777" w:rsidTr="00054E92">
        <w:tc>
          <w:tcPr>
            <w:tcW w:w="3019" w:type="dxa"/>
          </w:tcPr>
          <w:p w14:paraId="0C87DAD2" w14:textId="7D86709C" w:rsidR="00EC4C3F" w:rsidRPr="00054E92" w:rsidRDefault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Data stored in medical device is encrypted.</w:t>
            </w:r>
          </w:p>
        </w:tc>
        <w:tc>
          <w:tcPr>
            <w:tcW w:w="1795" w:type="dxa"/>
          </w:tcPr>
          <w:p w14:paraId="52E26A80" w14:textId="784F76E5" w:rsidR="00EC4C3F" w:rsidRPr="00054E92" w:rsidRDefault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Principle 2.9</w:t>
            </w:r>
          </w:p>
        </w:tc>
        <w:tc>
          <w:tcPr>
            <w:tcW w:w="4246" w:type="dxa"/>
          </w:tcPr>
          <w:p w14:paraId="53149842" w14:textId="28D7B07F" w:rsidR="00870BF1" w:rsidRPr="00054E92" w:rsidRDefault="00870BF1" w:rsidP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2. Professional Competence and Integrity</w:t>
            </w:r>
          </w:p>
          <w:p w14:paraId="531CA3E4" w14:textId="319F9B46" w:rsidR="00EC4C3F" w:rsidRPr="00054E92" w:rsidRDefault="00194BFC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f. avoid injuring others, their property, reputation, or employment by false or malicious or negligent action or inaction.</w:t>
            </w:r>
          </w:p>
        </w:tc>
      </w:tr>
      <w:tr w:rsidR="00054E92" w:rsidRPr="00054E92" w14:paraId="3CD47971" w14:textId="77777777" w:rsidTr="00054E92">
        <w:tc>
          <w:tcPr>
            <w:tcW w:w="3019" w:type="dxa"/>
          </w:tcPr>
          <w:p w14:paraId="5462E4D0" w14:textId="0A6E7025" w:rsidR="00870BF1" w:rsidRPr="00054E92" w:rsidRDefault="00BD13B6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Data encrypted with standard cryptographic algorithms</w:t>
            </w:r>
          </w:p>
        </w:tc>
        <w:tc>
          <w:tcPr>
            <w:tcW w:w="1795" w:type="dxa"/>
          </w:tcPr>
          <w:p w14:paraId="70F0F3B3" w14:textId="53946150" w:rsidR="00870BF1" w:rsidRPr="00054E92" w:rsidRDefault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Principle 2.6</w:t>
            </w:r>
          </w:p>
        </w:tc>
        <w:tc>
          <w:tcPr>
            <w:tcW w:w="4246" w:type="dxa"/>
          </w:tcPr>
          <w:p w14:paraId="5CC06E94" w14:textId="77777777" w:rsidR="00BD13B6" w:rsidRPr="00054E92" w:rsidRDefault="00BD13B6" w:rsidP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 xml:space="preserve">2. Professional Competence and Integrity </w:t>
            </w:r>
          </w:p>
          <w:p w14:paraId="66C208B2" w14:textId="2183EA4E" w:rsidR="00870BF1" w:rsidRPr="00054E92" w:rsidRDefault="00BD13B6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c. develop your professional knowledge, skills and competence on a continuing basis, maintaining awareness of technological developments, procedures, and standards that are relevant to your field.</w:t>
            </w:r>
          </w:p>
        </w:tc>
      </w:tr>
      <w:tr w:rsidR="00054E92" w:rsidRPr="00054E92" w14:paraId="33785A84" w14:textId="77777777" w:rsidTr="00054E92">
        <w:tc>
          <w:tcPr>
            <w:tcW w:w="3019" w:type="dxa"/>
          </w:tcPr>
          <w:p w14:paraId="6431509E" w14:textId="50705C4C" w:rsidR="00870BF1" w:rsidRPr="00054E92" w:rsidRDefault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Researcher disclosed the vulnerability to the company</w:t>
            </w:r>
            <w:r w:rsidR="00BD13B6" w:rsidRPr="00054E92">
              <w:rPr>
                <w:rFonts w:cstheme="minorHAnsi"/>
              </w:rPr>
              <w:t xml:space="preserve"> and collaborated with them to evaluate risk. </w:t>
            </w:r>
          </w:p>
        </w:tc>
        <w:tc>
          <w:tcPr>
            <w:tcW w:w="1795" w:type="dxa"/>
          </w:tcPr>
          <w:p w14:paraId="52EEAD57" w14:textId="6C738F73" w:rsidR="00870BF1" w:rsidRPr="00054E92" w:rsidRDefault="00BD13B6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Principle 2.5</w:t>
            </w:r>
          </w:p>
        </w:tc>
        <w:tc>
          <w:tcPr>
            <w:tcW w:w="4246" w:type="dxa"/>
          </w:tcPr>
          <w:p w14:paraId="6C55B7D4" w14:textId="2E7D546F" w:rsidR="00870BF1" w:rsidRPr="00054E92" w:rsidRDefault="00870BF1" w:rsidP="00870BF1">
            <w:pPr>
              <w:rPr>
                <w:rFonts w:cstheme="minorHAnsi"/>
              </w:rPr>
            </w:pPr>
            <w:r w:rsidRPr="00054E92">
              <w:rPr>
                <w:rFonts w:cstheme="minorHAnsi"/>
              </w:rPr>
              <w:t>2. Professional Competence and Integrity</w:t>
            </w:r>
          </w:p>
          <w:p w14:paraId="191CE2A5" w14:textId="28B07B72" w:rsidR="00BD13B6" w:rsidRPr="00054E92" w:rsidRDefault="00BD13B6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e. respect and value alternative viewpoints and, seek, accept and offer honest criticisms of work.</w:t>
            </w:r>
          </w:p>
          <w:p w14:paraId="157C9EEE" w14:textId="42589C40" w:rsidR="00BD13B6" w:rsidRPr="00054E92" w:rsidRDefault="00BD13B6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f. avoid injuring others, their property, reputation, or employment by false or malicious or negligent action or inaction</w:t>
            </w:r>
          </w:p>
          <w:p w14:paraId="297CCAAF" w14:textId="27ACDCE7" w:rsidR="00870BF1" w:rsidRPr="00054E92" w:rsidRDefault="00870BF1" w:rsidP="00054E92">
            <w:pPr>
              <w:ind w:left="720"/>
              <w:rPr>
                <w:rFonts w:cstheme="minorHAnsi"/>
              </w:rPr>
            </w:pPr>
            <w:r w:rsidRPr="00054E92">
              <w:rPr>
                <w:rFonts w:cstheme="minorHAnsi"/>
              </w:rPr>
              <w:t>g. reject and will not make any offer of bribery or unethical inducement.</w:t>
            </w:r>
          </w:p>
        </w:tc>
      </w:tr>
    </w:tbl>
    <w:p w14:paraId="36A29B4E" w14:textId="002BFEFE" w:rsidR="00EC4C3F" w:rsidRDefault="00EC4C3F">
      <w:pPr>
        <w:rPr>
          <w:rFonts w:cstheme="minorHAnsi"/>
        </w:rPr>
      </w:pPr>
    </w:p>
    <w:p w14:paraId="32E1F91E" w14:textId="4A416D99" w:rsidR="00DA272E" w:rsidRDefault="00DA272E">
      <w:pPr>
        <w:rPr>
          <w:rFonts w:cstheme="minorHAnsi"/>
        </w:rPr>
      </w:pPr>
      <w:r>
        <w:rPr>
          <w:rFonts w:cstheme="minorHAnsi"/>
        </w:rPr>
        <w:t>REFERENCES:</w:t>
      </w:r>
    </w:p>
    <w:p w14:paraId="5A507208" w14:textId="6F5A12AE" w:rsidR="00DA272E" w:rsidRPr="00DA272E" w:rsidRDefault="00DA272E" w:rsidP="00DA272E">
      <w:pPr>
        <w:rPr>
          <w:rFonts w:cstheme="minorHAnsi"/>
        </w:rPr>
      </w:pPr>
      <w:r w:rsidRPr="00DA272E">
        <w:rPr>
          <w:rFonts w:cstheme="minorHAnsi"/>
        </w:rPr>
        <w:lastRenderedPageBreak/>
        <w:t>Association for Computing Machinery (2018) ACM Code of Ethics and Professional Conduct. Available from: https://ethics.acm.org/ [Accessed 1</w:t>
      </w:r>
      <w:r>
        <w:rPr>
          <w:rFonts w:cstheme="minorHAnsi"/>
        </w:rPr>
        <w:t>5</w:t>
      </w:r>
      <w:r w:rsidRPr="00DA272E">
        <w:rPr>
          <w:rFonts w:cstheme="minorHAnsi"/>
        </w:rPr>
        <w:t xml:space="preserve"> March 2022].</w:t>
      </w:r>
    </w:p>
    <w:p w14:paraId="4B165EB3" w14:textId="321A1BEE" w:rsidR="00DA272E" w:rsidRDefault="00DA272E" w:rsidP="00DA272E">
      <w:pPr>
        <w:rPr>
          <w:rFonts w:cstheme="minorHAnsi"/>
        </w:rPr>
      </w:pPr>
      <w:r w:rsidRPr="00DA272E">
        <w:rPr>
          <w:rFonts w:cstheme="minorHAnsi"/>
        </w:rPr>
        <w:t>BCS (2021) Code of Conduct for BCS Members. Available from: https://www.bcs.org/media/2211/bcs-code-of-conduct.pdf [Accessed 1</w:t>
      </w:r>
      <w:r>
        <w:rPr>
          <w:rFonts w:cstheme="minorHAnsi"/>
        </w:rPr>
        <w:t>5</w:t>
      </w:r>
      <w:r w:rsidRPr="00DA272E">
        <w:rPr>
          <w:rFonts w:cstheme="minorHAnsi"/>
        </w:rPr>
        <w:t xml:space="preserve"> March 2022].</w:t>
      </w:r>
    </w:p>
    <w:p w14:paraId="4E0C407E" w14:textId="77777777" w:rsidR="00054E92" w:rsidRPr="00054E92" w:rsidRDefault="00054E92">
      <w:pPr>
        <w:rPr>
          <w:rFonts w:cstheme="minorHAnsi"/>
        </w:rPr>
      </w:pPr>
    </w:p>
    <w:sectPr w:rsidR="00054E92" w:rsidRPr="00054E92" w:rsidSect="00054E9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94"/>
    <w:rsid w:val="00054E92"/>
    <w:rsid w:val="00194BFC"/>
    <w:rsid w:val="00345EC8"/>
    <w:rsid w:val="004C6B91"/>
    <w:rsid w:val="007035E9"/>
    <w:rsid w:val="00870BF1"/>
    <w:rsid w:val="00BD13B6"/>
    <w:rsid w:val="00DA272E"/>
    <w:rsid w:val="00EC3394"/>
    <w:rsid w:val="00EC4C3F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90E5"/>
  <w15:chartTrackingRefBased/>
  <w15:docId w15:val="{C273B37C-5859-4EA5-A618-9A21BF47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2022-03-15T17:04:00Z</dcterms:created>
  <dcterms:modified xsi:type="dcterms:W3CDTF">2022-03-15T17:52:00Z</dcterms:modified>
</cp:coreProperties>
</file>