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04FC" w14:textId="09260747" w:rsidR="00CB451A" w:rsidRDefault="00FC66F7" w:rsidP="00CB451A">
      <w:pPr>
        <w:rPr>
          <w:rFonts w:ascii="Arial" w:hAnsi="Arial" w:cs="Arial"/>
          <w:sz w:val="24"/>
          <w:szCs w:val="24"/>
        </w:rPr>
      </w:pPr>
      <w:proofErr w:type="spellStart"/>
      <w:r w:rsidRPr="00887322">
        <w:rPr>
          <w:rFonts w:ascii="Arial" w:hAnsi="Arial" w:cs="Arial"/>
          <w:sz w:val="24"/>
          <w:szCs w:val="24"/>
        </w:rPr>
        <w:t>Kalina</w:t>
      </w:r>
      <w:proofErr w:type="spellEnd"/>
      <w:r w:rsidRPr="00887322">
        <w:rPr>
          <w:rFonts w:ascii="Arial" w:hAnsi="Arial" w:cs="Arial"/>
          <w:sz w:val="24"/>
          <w:szCs w:val="24"/>
        </w:rPr>
        <w:t>,</w:t>
      </w:r>
      <w:r w:rsidR="00887322">
        <w:rPr>
          <w:rFonts w:ascii="Arial" w:hAnsi="Arial" w:cs="Arial"/>
          <w:sz w:val="24"/>
          <w:szCs w:val="24"/>
        </w:rPr>
        <w:t xml:space="preserve"> as you mentioned trustiness and honesty are components of the </w:t>
      </w:r>
      <w:r w:rsidR="00887322" w:rsidRPr="00887322">
        <w:rPr>
          <w:rFonts w:ascii="Arial" w:hAnsi="Arial" w:cs="Arial"/>
          <w:sz w:val="24"/>
          <w:szCs w:val="24"/>
        </w:rPr>
        <w:t>ACM Code of Ethics (ACM, 2018)</w:t>
      </w:r>
      <w:r w:rsidR="00887322">
        <w:rPr>
          <w:rFonts w:ascii="Arial" w:hAnsi="Arial" w:cs="Arial"/>
          <w:sz w:val="24"/>
          <w:szCs w:val="24"/>
        </w:rPr>
        <w:t>, therefore even if it is challenging for Abi, he should abide to the code and do not withhold information</w:t>
      </w:r>
      <w:r w:rsidR="00887322" w:rsidRPr="00887322">
        <w:rPr>
          <w:rFonts w:ascii="Arial" w:hAnsi="Arial" w:cs="Arial"/>
          <w:sz w:val="24"/>
          <w:szCs w:val="24"/>
        </w:rPr>
        <w:t>.</w:t>
      </w:r>
      <w:r w:rsidR="00887322" w:rsidRPr="00887322">
        <w:t xml:space="preserve"> </w:t>
      </w:r>
      <w:r w:rsidR="00887322">
        <w:rPr>
          <w:rFonts w:ascii="Arial" w:hAnsi="Arial" w:cs="Arial"/>
          <w:sz w:val="24"/>
          <w:szCs w:val="24"/>
        </w:rPr>
        <w:t>As pointed out by Sebastian, it is e</w:t>
      </w:r>
      <w:r w:rsidR="00887322" w:rsidRPr="00887322">
        <w:rPr>
          <w:rFonts w:ascii="Arial" w:hAnsi="Arial" w:cs="Arial"/>
          <w:sz w:val="24"/>
          <w:szCs w:val="24"/>
        </w:rPr>
        <w:t xml:space="preserve">thical to </w:t>
      </w:r>
      <w:proofErr w:type="spellStart"/>
      <w:r w:rsidR="00887322" w:rsidRPr="00887322">
        <w:rPr>
          <w:rFonts w:ascii="Arial" w:hAnsi="Arial" w:cs="Arial"/>
          <w:sz w:val="24"/>
          <w:szCs w:val="24"/>
        </w:rPr>
        <w:t>analyse</w:t>
      </w:r>
      <w:proofErr w:type="spellEnd"/>
      <w:r w:rsidR="00887322" w:rsidRPr="00887322">
        <w:rPr>
          <w:rFonts w:ascii="Arial" w:hAnsi="Arial" w:cs="Arial"/>
          <w:sz w:val="24"/>
          <w:szCs w:val="24"/>
        </w:rPr>
        <w:t xml:space="preserve"> data which</w:t>
      </w:r>
      <w:r w:rsidR="00054ED0">
        <w:rPr>
          <w:rFonts w:ascii="Arial" w:hAnsi="Arial" w:cs="Arial"/>
          <w:sz w:val="24"/>
          <w:szCs w:val="24"/>
        </w:rPr>
        <w:t xml:space="preserve"> leads to</w:t>
      </w:r>
      <w:r w:rsidR="00887322" w:rsidRPr="00887322">
        <w:rPr>
          <w:rFonts w:ascii="Arial" w:hAnsi="Arial" w:cs="Arial"/>
          <w:sz w:val="24"/>
          <w:szCs w:val="24"/>
        </w:rPr>
        <w:t xml:space="preserve"> various conclusions</w:t>
      </w:r>
      <w:r w:rsidR="00887322">
        <w:rPr>
          <w:rFonts w:ascii="Arial" w:hAnsi="Arial" w:cs="Arial"/>
          <w:sz w:val="24"/>
          <w:szCs w:val="24"/>
        </w:rPr>
        <w:t xml:space="preserve">, and </w:t>
      </w:r>
      <w:r w:rsidR="00AD5AC6">
        <w:rPr>
          <w:rFonts w:ascii="Arial" w:hAnsi="Arial" w:cs="Arial"/>
          <w:sz w:val="24"/>
          <w:szCs w:val="24"/>
        </w:rPr>
        <w:t>a secondary analysis</w:t>
      </w:r>
      <w:r w:rsidR="00887322">
        <w:rPr>
          <w:rFonts w:ascii="Arial" w:hAnsi="Arial" w:cs="Arial"/>
          <w:sz w:val="24"/>
          <w:szCs w:val="24"/>
        </w:rPr>
        <w:t xml:space="preserve"> does not need to increase the level of </w:t>
      </w:r>
      <w:r w:rsidR="00AD5AC6">
        <w:rPr>
          <w:rFonts w:ascii="Arial" w:hAnsi="Arial" w:cs="Arial"/>
          <w:sz w:val="24"/>
          <w:szCs w:val="24"/>
        </w:rPr>
        <w:t>errors if research is done rigorously.</w:t>
      </w:r>
      <w:r w:rsidR="00887322">
        <w:rPr>
          <w:rFonts w:ascii="Arial" w:hAnsi="Arial" w:cs="Arial"/>
          <w:sz w:val="24"/>
          <w:szCs w:val="24"/>
        </w:rPr>
        <w:t xml:space="preserve"> </w:t>
      </w:r>
      <w:r w:rsidR="00AD5AC6">
        <w:rPr>
          <w:rFonts w:ascii="Arial" w:hAnsi="Arial" w:cs="Arial"/>
          <w:sz w:val="24"/>
          <w:szCs w:val="24"/>
        </w:rPr>
        <w:t>Weston et al. (</w:t>
      </w:r>
      <w:r w:rsidR="00CB451A">
        <w:rPr>
          <w:rFonts w:ascii="Arial" w:hAnsi="Arial" w:cs="Arial"/>
          <w:sz w:val="24"/>
          <w:szCs w:val="24"/>
        </w:rPr>
        <w:t>2019) explain how secondary analysis can be used to improve analytic methods and obtain a</w:t>
      </w:r>
      <w:r w:rsidR="00D35E6B">
        <w:rPr>
          <w:rFonts w:ascii="Arial" w:hAnsi="Arial" w:cs="Arial"/>
          <w:sz w:val="24"/>
          <w:szCs w:val="24"/>
        </w:rPr>
        <w:t xml:space="preserve"> more</w:t>
      </w:r>
      <w:r w:rsidR="00CB451A">
        <w:rPr>
          <w:rFonts w:ascii="Arial" w:hAnsi="Arial" w:cs="Arial"/>
          <w:sz w:val="24"/>
          <w:szCs w:val="24"/>
        </w:rPr>
        <w:t xml:space="preserve"> robust data analysis and conclusions. Their research also indicate that secondary research can be used to explore new theories or to confirm initial conclusions.</w:t>
      </w:r>
    </w:p>
    <w:p w14:paraId="01D5205C" w14:textId="6A752E91" w:rsidR="00CB451A" w:rsidRDefault="007B1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</w:t>
      </w:r>
      <w:r w:rsidR="00ED042E">
        <w:rPr>
          <w:rFonts w:ascii="Arial" w:hAnsi="Arial" w:cs="Arial"/>
          <w:sz w:val="24"/>
          <w:szCs w:val="24"/>
        </w:rPr>
        <w:t xml:space="preserve">, the consequences of </w:t>
      </w:r>
      <w:r>
        <w:rPr>
          <w:rFonts w:ascii="Arial" w:hAnsi="Arial" w:cs="Arial"/>
          <w:sz w:val="24"/>
          <w:szCs w:val="24"/>
        </w:rPr>
        <w:t xml:space="preserve">dishonesty and </w:t>
      </w:r>
      <w:r w:rsidR="00ED042E">
        <w:rPr>
          <w:rFonts w:ascii="Arial" w:hAnsi="Arial" w:cs="Arial"/>
          <w:sz w:val="24"/>
          <w:szCs w:val="24"/>
        </w:rPr>
        <w:t xml:space="preserve">publication misconduct, such as withholding, </w:t>
      </w:r>
      <w:r w:rsidR="00C30ED5">
        <w:rPr>
          <w:rFonts w:ascii="Arial" w:hAnsi="Arial" w:cs="Arial"/>
          <w:sz w:val="24"/>
          <w:szCs w:val="24"/>
        </w:rPr>
        <w:t>manipulating,</w:t>
      </w:r>
      <w:r w:rsidR="00ED042E">
        <w:rPr>
          <w:rFonts w:ascii="Arial" w:hAnsi="Arial" w:cs="Arial"/>
          <w:sz w:val="24"/>
          <w:szCs w:val="24"/>
        </w:rPr>
        <w:t xml:space="preserve"> or falsifying data can be very serious</w:t>
      </w:r>
      <w:r>
        <w:rPr>
          <w:rFonts w:ascii="Arial" w:hAnsi="Arial" w:cs="Arial"/>
          <w:sz w:val="24"/>
          <w:szCs w:val="24"/>
        </w:rPr>
        <w:t>,</w:t>
      </w:r>
      <w:r w:rsidR="00ED042E">
        <w:rPr>
          <w:rFonts w:ascii="Arial" w:hAnsi="Arial" w:cs="Arial"/>
          <w:sz w:val="24"/>
          <w:szCs w:val="24"/>
        </w:rPr>
        <w:t xml:space="preserve"> including withdrawal of academic degree and legal actions for forgery (</w:t>
      </w:r>
      <w:proofErr w:type="spellStart"/>
      <w:r w:rsidR="00ED042E" w:rsidRPr="00ED042E">
        <w:rPr>
          <w:rFonts w:ascii="Arial" w:hAnsi="Arial" w:cs="Arial"/>
          <w:sz w:val="24"/>
          <w:szCs w:val="24"/>
        </w:rPr>
        <w:t>Boeckstyns</w:t>
      </w:r>
      <w:proofErr w:type="spellEnd"/>
      <w:r w:rsidR="00ED042E">
        <w:rPr>
          <w:rFonts w:ascii="Arial" w:hAnsi="Arial" w:cs="Arial"/>
          <w:sz w:val="24"/>
          <w:szCs w:val="24"/>
        </w:rPr>
        <w:t xml:space="preserve"> et. </w:t>
      </w:r>
      <w:r w:rsidR="00C30ED5">
        <w:rPr>
          <w:rFonts w:ascii="Arial" w:hAnsi="Arial" w:cs="Arial"/>
          <w:sz w:val="24"/>
          <w:szCs w:val="24"/>
        </w:rPr>
        <w:t>a</w:t>
      </w:r>
      <w:r w:rsidR="00ED042E">
        <w:rPr>
          <w:rFonts w:ascii="Arial" w:hAnsi="Arial" w:cs="Arial"/>
          <w:sz w:val="24"/>
          <w:szCs w:val="24"/>
        </w:rPr>
        <w:t>l, 2020).</w:t>
      </w:r>
      <w:r w:rsidR="00C30ED5">
        <w:rPr>
          <w:rFonts w:ascii="Arial" w:hAnsi="Arial" w:cs="Arial"/>
          <w:sz w:val="24"/>
          <w:szCs w:val="24"/>
        </w:rPr>
        <w:t xml:space="preserve"> There are cases where this has happened to dishonest authors. For example, in 2010, a successful neuroscientist and professor at the University of Copenhagen faced serious consequences for publishing forged </w:t>
      </w:r>
      <w:r w:rsidR="00847365">
        <w:rPr>
          <w:rFonts w:ascii="Arial" w:hAnsi="Arial" w:cs="Arial"/>
          <w:sz w:val="24"/>
          <w:szCs w:val="24"/>
        </w:rPr>
        <w:t xml:space="preserve">rat </w:t>
      </w:r>
      <w:r w:rsidR="00C30ED5">
        <w:rPr>
          <w:rFonts w:ascii="Arial" w:hAnsi="Arial" w:cs="Arial"/>
          <w:sz w:val="24"/>
          <w:szCs w:val="24"/>
        </w:rPr>
        <w:t xml:space="preserve">experiments </w:t>
      </w:r>
      <w:r w:rsidR="00847365">
        <w:rPr>
          <w:rFonts w:ascii="Arial" w:hAnsi="Arial" w:cs="Arial"/>
          <w:sz w:val="24"/>
          <w:szCs w:val="24"/>
        </w:rPr>
        <w:t>in</w:t>
      </w:r>
      <w:r w:rsidR="00C30ED5">
        <w:rPr>
          <w:rFonts w:ascii="Arial" w:hAnsi="Arial" w:cs="Arial"/>
          <w:sz w:val="24"/>
          <w:szCs w:val="24"/>
        </w:rPr>
        <w:t xml:space="preserve"> her thesis</w:t>
      </w:r>
      <w:r>
        <w:rPr>
          <w:rFonts w:ascii="Arial" w:hAnsi="Arial" w:cs="Arial"/>
          <w:sz w:val="24"/>
          <w:szCs w:val="24"/>
        </w:rPr>
        <w:t>: her</w:t>
      </w:r>
      <w:r w:rsidR="00C30ED5">
        <w:rPr>
          <w:rFonts w:ascii="Arial" w:hAnsi="Arial" w:cs="Arial"/>
          <w:sz w:val="24"/>
          <w:szCs w:val="24"/>
        </w:rPr>
        <w:t xml:space="preserve"> publications</w:t>
      </w:r>
      <w:r>
        <w:rPr>
          <w:rFonts w:ascii="Arial" w:hAnsi="Arial" w:cs="Arial"/>
          <w:sz w:val="24"/>
          <w:szCs w:val="24"/>
        </w:rPr>
        <w:t xml:space="preserve"> were withdrawn</w:t>
      </w:r>
      <w:r w:rsidR="00C30ED5">
        <w:rPr>
          <w:rFonts w:ascii="Arial" w:hAnsi="Arial" w:cs="Arial"/>
          <w:sz w:val="24"/>
          <w:szCs w:val="24"/>
        </w:rPr>
        <w:t xml:space="preserve"> from journals, </w:t>
      </w:r>
      <w:r>
        <w:rPr>
          <w:rFonts w:ascii="Arial" w:hAnsi="Arial" w:cs="Arial"/>
          <w:sz w:val="24"/>
          <w:szCs w:val="24"/>
        </w:rPr>
        <w:t xml:space="preserve">she was obliged to </w:t>
      </w:r>
      <w:r w:rsidR="00C30ED5">
        <w:rPr>
          <w:rFonts w:ascii="Arial" w:hAnsi="Arial" w:cs="Arial"/>
          <w:sz w:val="24"/>
          <w:szCs w:val="24"/>
        </w:rPr>
        <w:t>resign from professorship</w:t>
      </w:r>
      <w:r>
        <w:rPr>
          <w:rFonts w:ascii="Arial" w:hAnsi="Arial" w:cs="Arial"/>
          <w:sz w:val="24"/>
          <w:szCs w:val="24"/>
        </w:rPr>
        <w:t xml:space="preserve"> and the University of Copenhagen withdrew her</w:t>
      </w:r>
      <w:r>
        <w:rPr>
          <w:rFonts w:ascii="Arial" w:hAnsi="Arial" w:cs="Arial"/>
          <w:sz w:val="24"/>
          <w:szCs w:val="24"/>
        </w:rPr>
        <w:t xml:space="preserve"> doctoral degree</w:t>
      </w:r>
      <w:r>
        <w:rPr>
          <w:rFonts w:ascii="Arial" w:hAnsi="Arial" w:cs="Arial"/>
          <w:sz w:val="24"/>
          <w:szCs w:val="24"/>
        </w:rPr>
        <w:t>.</w:t>
      </w:r>
    </w:p>
    <w:p w14:paraId="0874D488" w14:textId="050A08ED" w:rsidR="00CB451A" w:rsidRDefault="00CB451A">
      <w:pPr>
        <w:rPr>
          <w:rFonts w:ascii="Arial" w:hAnsi="Arial" w:cs="Arial"/>
          <w:sz w:val="24"/>
          <w:szCs w:val="24"/>
        </w:rPr>
      </w:pPr>
    </w:p>
    <w:p w14:paraId="6D052351" w14:textId="25D70393" w:rsidR="00CB451A" w:rsidRDefault="00CB4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47449D76" w14:textId="4D64D226" w:rsidR="00F60D19" w:rsidRDefault="00F60D19">
      <w:pPr>
        <w:rPr>
          <w:rFonts w:ascii="Arial" w:hAnsi="Arial" w:cs="Arial"/>
          <w:sz w:val="24"/>
          <w:szCs w:val="24"/>
        </w:rPr>
      </w:pPr>
      <w:r w:rsidRPr="00F60D19">
        <w:rPr>
          <w:rFonts w:ascii="Arial" w:hAnsi="Arial" w:cs="Arial"/>
          <w:sz w:val="24"/>
          <w:szCs w:val="24"/>
        </w:rPr>
        <w:t xml:space="preserve">ACM (2018) ACM Code of Ethics and Professional Conduct. Available from: </w:t>
      </w:r>
      <w:hyperlink r:id="rId4" w:history="1">
        <w:r w:rsidR="00054ED0" w:rsidRPr="00961C5E">
          <w:rPr>
            <w:rStyle w:val="Hyperlink"/>
            <w:rFonts w:ascii="Arial" w:hAnsi="Arial" w:cs="Arial"/>
            <w:sz w:val="24"/>
            <w:szCs w:val="24"/>
          </w:rPr>
          <w:t>https://www.acm.org/code-of-ethics</w:t>
        </w:r>
      </w:hyperlink>
      <w:r w:rsidR="00054ED0">
        <w:rPr>
          <w:rFonts w:ascii="Arial" w:hAnsi="Arial" w:cs="Arial"/>
          <w:sz w:val="24"/>
          <w:szCs w:val="24"/>
        </w:rPr>
        <w:t xml:space="preserve"> </w:t>
      </w:r>
      <w:r w:rsidR="00054ED0">
        <w:rPr>
          <w:rFonts w:ascii="Arial" w:hAnsi="Arial" w:cs="Arial"/>
          <w:sz w:val="24"/>
          <w:szCs w:val="24"/>
        </w:rPr>
        <w:t>[Accessed on 5 May 2022]</w:t>
      </w:r>
    </w:p>
    <w:p w14:paraId="36C4A923" w14:textId="2C88633E" w:rsidR="00C30ED5" w:rsidRDefault="00ED042E" w:rsidP="00C30ED5">
      <w:pPr>
        <w:rPr>
          <w:rFonts w:ascii="Arial" w:hAnsi="Arial" w:cs="Arial"/>
          <w:sz w:val="24"/>
          <w:szCs w:val="24"/>
        </w:rPr>
      </w:pPr>
      <w:proofErr w:type="spellStart"/>
      <w:r w:rsidRPr="00ED042E">
        <w:rPr>
          <w:rFonts w:ascii="Arial" w:hAnsi="Arial" w:cs="Arial"/>
          <w:sz w:val="24"/>
          <w:szCs w:val="24"/>
        </w:rPr>
        <w:t>Boeckstyns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MEH</w:t>
      </w:r>
      <w:r>
        <w:rPr>
          <w:rFonts w:ascii="Arial" w:hAnsi="Arial" w:cs="Arial"/>
          <w:sz w:val="24"/>
          <w:szCs w:val="24"/>
        </w:rPr>
        <w:t>.</w:t>
      </w:r>
      <w:r w:rsidRPr="00ED0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042E">
        <w:rPr>
          <w:rFonts w:ascii="Arial" w:hAnsi="Arial" w:cs="Arial"/>
          <w:sz w:val="24"/>
          <w:szCs w:val="24"/>
        </w:rPr>
        <w:t>Giddins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.</w:t>
      </w:r>
      <w:r w:rsidRPr="00ED042E">
        <w:rPr>
          <w:rFonts w:ascii="Arial" w:hAnsi="Arial" w:cs="Arial"/>
          <w:sz w:val="24"/>
          <w:szCs w:val="24"/>
        </w:rPr>
        <w:t>, Meals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. and</w:t>
      </w:r>
      <w:r w:rsidRPr="00ED042E">
        <w:rPr>
          <w:rFonts w:ascii="Arial" w:hAnsi="Arial" w:cs="Arial"/>
          <w:sz w:val="24"/>
          <w:szCs w:val="24"/>
        </w:rPr>
        <w:t xml:space="preserve"> Tang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JB.</w:t>
      </w:r>
      <w:r>
        <w:rPr>
          <w:rFonts w:ascii="Arial" w:hAnsi="Arial" w:cs="Arial"/>
          <w:sz w:val="24"/>
          <w:szCs w:val="24"/>
        </w:rPr>
        <w:t xml:space="preserve"> (2020)</w:t>
      </w:r>
      <w:r w:rsidRPr="00ED042E">
        <w:rPr>
          <w:rFonts w:ascii="Arial" w:hAnsi="Arial" w:cs="Arial"/>
          <w:sz w:val="24"/>
          <w:szCs w:val="24"/>
        </w:rPr>
        <w:t xml:space="preserve"> Publication ethics. </w:t>
      </w:r>
      <w:r w:rsidRPr="00ED042E">
        <w:rPr>
          <w:rFonts w:ascii="Arial" w:hAnsi="Arial" w:cs="Arial"/>
          <w:i/>
          <w:iCs/>
          <w:sz w:val="24"/>
          <w:szCs w:val="24"/>
        </w:rPr>
        <w:t>Journal of Hand Surgery (European Volume)</w:t>
      </w:r>
      <w:r w:rsidRPr="00ED042E">
        <w:rPr>
          <w:rFonts w:ascii="Arial" w:hAnsi="Arial" w:cs="Arial"/>
          <w:sz w:val="24"/>
          <w:szCs w:val="24"/>
        </w:rPr>
        <w:t>. 45(7):</w:t>
      </w:r>
      <w:r w:rsidR="00847365">
        <w:rPr>
          <w:rFonts w:ascii="Arial" w:hAnsi="Arial" w:cs="Arial"/>
          <w:sz w:val="24"/>
          <w:szCs w:val="24"/>
        </w:rPr>
        <w:t xml:space="preserve"> </w:t>
      </w:r>
      <w:r w:rsidRPr="00ED042E">
        <w:rPr>
          <w:rFonts w:ascii="Arial" w:hAnsi="Arial" w:cs="Arial"/>
          <w:sz w:val="24"/>
          <w:szCs w:val="24"/>
        </w:rPr>
        <w:t xml:space="preserve">770-774. </w:t>
      </w:r>
      <w:r w:rsidR="00C30ED5">
        <w:rPr>
          <w:rFonts w:ascii="Arial" w:hAnsi="Arial" w:cs="Arial"/>
          <w:sz w:val="24"/>
          <w:szCs w:val="24"/>
        </w:rPr>
        <w:t xml:space="preserve">Available from: </w:t>
      </w:r>
      <w:hyperlink r:id="rId5" w:history="1">
        <w:r w:rsidR="00C30ED5" w:rsidRPr="00961C5E">
          <w:rPr>
            <w:rStyle w:val="Hyperlink"/>
            <w:rFonts w:ascii="Arial" w:hAnsi="Arial" w:cs="Arial"/>
            <w:sz w:val="24"/>
            <w:szCs w:val="24"/>
          </w:rPr>
          <w:t>https://doi.org/10.1177/1753193420905263</w:t>
        </w:r>
      </w:hyperlink>
      <w:r w:rsidR="00C30ED5">
        <w:rPr>
          <w:rFonts w:ascii="Arial" w:hAnsi="Arial" w:cs="Arial"/>
          <w:sz w:val="24"/>
          <w:szCs w:val="24"/>
        </w:rPr>
        <w:t xml:space="preserve"> </w:t>
      </w:r>
      <w:r w:rsidR="00C30ED5">
        <w:rPr>
          <w:rFonts w:ascii="Arial" w:hAnsi="Arial" w:cs="Arial"/>
          <w:sz w:val="24"/>
          <w:szCs w:val="24"/>
        </w:rPr>
        <w:t xml:space="preserve"> [Accessed on 5 May 2022]</w:t>
      </w:r>
      <w:r w:rsidR="00C30ED5">
        <w:rPr>
          <w:rFonts w:ascii="Arial" w:hAnsi="Arial" w:cs="Arial"/>
          <w:sz w:val="24"/>
          <w:szCs w:val="24"/>
        </w:rPr>
        <w:t xml:space="preserve"> </w:t>
      </w:r>
    </w:p>
    <w:p w14:paraId="44B0D76C" w14:textId="679769D9" w:rsidR="00CB451A" w:rsidRPr="00887322" w:rsidRDefault="00CB451A" w:rsidP="00C30ED5">
      <w:pPr>
        <w:rPr>
          <w:rFonts w:ascii="Arial" w:hAnsi="Arial" w:cs="Arial"/>
          <w:sz w:val="24"/>
          <w:szCs w:val="24"/>
        </w:rPr>
      </w:pPr>
      <w:r w:rsidRPr="00F60D19">
        <w:rPr>
          <w:rFonts w:ascii="Arial" w:hAnsi="Arial" w:cs="Arial"/>
          <w:sz w:val="24"/>
          <w:szCs w:val="24"/>
        </w:rPr>
        <w:t>Weston</w:t>
      </w:r>
      <w:r w:rsidR="00F60D19" w:rsidRPr="00F60D19">
        <w:rPr>
          <w:rFonts w:ascii="Arial" w:hAnsi="Arial" w:cs="Arial"/>
          <w:sz w:val="24"/>
          <w:szCs w:val="24"/>
        </w:rPr>
        <w:t>,</w:t>
      </w:r>
      <w:r w:rsidRPr="00F60D19">
        <w:rPr>
          <w:rFonts w:ascii="Arial" w:hAnsi="Arial" w:cs="Arial"/>
          <w:sz w:val="24"/>
          <w:szCs w:val="24"/>
        </w:rPr>
        <w:t xml:space="preserve"> SJ</w:t>
      </w:r>
      <w:r w:rsidR="00F60D19" w:rsidRPr="00F60D19">
        <w:rPr>
          <w:rFonts w:ascii="Arial" w:hAnsi="Arial" w:cs="Arial"/>
          <w:sz w:val="24"/>
          <w:szCs w:val="24"/>
        </w:rPr>
        <w:t>.</w:t>
      </w:r>
      <w:r w:rsidRPr="00F60D19">
        <w:rPr>
          <w:rFonts w:ascii="Arial" w:hAnsi="Arial" w:cs="Arial"/>
          <w:sz w:val="24"/>
          <w:szCs w:val="24"/>
        </w:rPr>
        <w:t>, Ritchie</w:t>
      </w:r>
      <w:r w:rsidR="00F60D19" w:rsidRPr="00F60D19">
        <w:rPr>
          <w:rFonts w:ascii="Arial" w:hAnsi="Arial" w:cs="Arial"/>
          <w:sz w:val="24"/>
          <w:szCs w:val="24"/>
        </w:rPr>
        <w:t>,</w:t>
      </w:r>
      <w:r w:rsidRPr="00F60D19">
        <w:rPr>
          <w:rFonts w:ascii="Arial" w:hAnsi="Arial" w:cs="Arial"/>
          <w:sz w:val="24"/>
          <w:szCs w:val="24"/>
        </w:rPr>
        <w:t xml:space="preserve"> SJ</w:t>
      </w:r>
      <w:r w:rsidR="00F60D19" w:rsidRPr="00F60D19">
        <w:rPr>
          <w:rFonts w:ascii="Arial" w:hAnsi="Arial" w:cs="Arial"/>
          <w:sz w:val="24"/>
          <w:szCs w:val="24"/>
        </w:rPr>
        <w:t>.</w:t>
      </w:r>
      <w:r w:rsidRPr="00F60D19">
        <w:rPr>
          <w:rFonts w:ascii="Arial" w:hAnsi="Arial" w:cs="Arial"/>
          <w:sz w:val="24"/>
          <w:szCs w:val="24"/>
        </w:rPr>
        <w:t>, Rohrer</w:t>
      </w:r>
      <w:r w:rsidR="00F60D19" w:rsidRPr="00F60D19">
        <w:rPr>
          <w:rFonts w:ascii="Arial" w:hAnsi="Arial" w:cs="Arial"/>
          <w:sz w:val="24"/>
          <w:szCs w:val="24"/>
        </w:rPr>
        <w:t>,</w:t>
      </w:r>
      <w:r w:rsidRPr="00F60D19">
        <w:rPr>
          <w:rFonts w:ascii="Arial" w:hAnsi="Arial" w:cs="Arial"/>
          <w:sz w:val="24"/>
          <w:szCs w:val="24"/>
        </w:rPr>
        <w:t xml:space="preserve"> JM</w:t>
      </w:r>
      <w:r w:rsidR="00F60D19" w:rsidRPr="00F60D19">
        <w:rPr>
          <w:rFonts w:ascii="Arial" w:hAnsi="Arial" w:cs="Arial"/>
          <w:sz w:val="24"/>
          <w:szCs w:val="24"/>
        </w:rPr>
        <w:t>. and</w:t>
      </w:r>
      <w:r w:rsidRPr="00F60D19">
        <w:rPr>
          <w:rFonts w:ascii="Arial" w:hAnsi="Arial" w:cs="Arial"/>
          <w:sz w:val="24"/>
          <w:szCs w:val="24"/>
        </w:rPr>
        <w:t xml:space="preserve"> </w:t>
      </w:r>
      <w:r w:rsidRPr="00CB451A">
        <w:rPr>
          <w:rFonts w:ascii="Arial" w:hAnsi="Arial" w:cs="Arial"/>
          <w:sz w:val="24"/>
          <w:szCs w:val="24"/>
        </w:rPr>
        <w:t>Przybylski</w:t>
      </w:r>
      <w:r w:rsidR="00F60D19">
        <w:rPr>
          <w:rFonts w:ascii="Arial" w:hAnsi="Arial" w:cs="Arial"/>
          <w:sz w:val="24"/>
          <w:szCs w:val="24"/>
        </w:rPr>
        <w:t>,</w:t>
      </w:r>
      <w:r w:rsidRPr="00CB451A">
        <w:rPr>
          <w:rFonts w:ascii="Arial" w:hAnsi="Arial" w:cs="Arial"/>
          <w:sz w:val="24"/>
          <w:szCs w:val="24"/>
        </w:rPr>
        <w:t xml:space="preserve"> AK</w:t>
      </w:r>
      <w:r w:rsidR="00F60D19">
        <w:rPr>
          <w:rFonts w:ascii="Arial" w:hAnsi="Arial" w:cs="Arial"/>
          <w:sz w:val="24"/>
          <w:szCs w:val="24"/>
        </w:rPr>
        <w:t>. (2019)</w:t>
      </w:r>
      <w:r w:rsidRPr="00CB451A">
        <w:rPr>
          <w:rFonts w:ascii="Arial" w:hAnsi="Arial" w:cs="Arial"/>
          <w:sz w:val="24"/>
          <w:szCs w:val="24"/>
        </w:rPr>
        <w:t xml:space="preserve"> Recommendations for Increasing the Transparency of Analysis of Preexisting Data Sets. </w:t>
      </w:r>
      <w:r w:rsidRPr="000B7D74">
        <w:rPr>
          <w:rFonts w:ascii="Arial" w:hAnsi="Arial" w:cs="Arial"/>
          <w:i/>
          <w:iCs/>
          <w:sz w:val="24"/>
          <w:szCs w:val="24"/>
        </w:rPr>
        <w:t>Advances in Methods and Practices in Psychological Science</w:t>
      </w:r>
      <w:r w:rsidRPr="00CB451A">
        <w:rPr>
          <w:rFonts w:ascii="Arial" w:hAnsi="Arial" w:cs="Arial"/>
          <w:sz w:val="24"/>
          <w:szCs w:val="24"/>
        </w:rPr>
        <w:t>. 2019</w:t>
      </w:r>
      <w:r w:rsidR="000B7D74">
        <w:rPr>
          <w:rFonts w:ascii="Arial" w:hAnsi="Arial" w:cs="Arial"/>
          <w:sz w:val="24"/>
          <w:szCs w:val="24"/>
        </w:rPr>
        <w:t>(9)</w:t>
      </w:r>
      <w:r w:rsidRPr="00CB451A">
        <w:rPr>
          <w:rFonts w:ascii="Arial" w:hAnsi="Arial" w:cs="Arial"/>
          <w:sz w:val="24"/>
          <w:szCs w:val="24"/>
        </w:rPr>
        <w:t>:</w:t>
      </w:r>
      <w:r w:rsidR="000B7D74">
        <w:rPr>
          <w:rFonts w:ascii="Arial" w:hAnsi="Arial" w:cs="Arial"/>
          <w:sz w:val="24"/>
          <w:szCs w:val="24"/>
        </w:rPr>
        <w:t xml:space="preserve"> </w:t>
      </w:r>
      <w:r w:rsidRPr="00CB451A">
        <w:rPr>
          <w:rFonts w:ascii="Arial" w:hAnsi="Arial" w:cs="Arial"/>
          <w:sz w:val="24"/>
          <w:szCs w:val="24"/>
        </w:rPr>
        <w:t>214-227.</w:t>
      </w:r>
      <w:r w:rsidR="000B7D74">
        <w:rPr>
          <w:rFonts w:ascii="Arial" w:hAnsi="Arial" w:cs="Arial"/>
          <w:sz w:val="24"/>
          <w:szCs w:val="24"/>
        </w:rPr>
        <w:t xml:space="preserve"> Available from: </w:t>
      </w:r>
      <w:hyperlink r:id="rId6" w:history="1">
        <w:r w:rsidR="000B7D74" w:rsidRPr="00961C5E">
          <w:rPr>
            <w:rStyle w:val="Hyperlink"/>
            <w:rFonts w:ascii="Arial" w:hAnsi="Arial" w:cs="Arial"/>
            <w:sz w:val="24"/>
            <w:szCs w:val="24"/>
          </w:rPr>
          <w:t>https://doi.org/10.1177/2515245919848684</w:t>
        </w:r>
      </w:hyperlink>
      <w:r w:rsidR="000B7D74">
        <w:rPr>
          <w:rFonts w:ascii="Arial" w:hAnsi="Arial" w:cs="Arial"/>
          <w:sz w:val="24"/>
          <w:szCs w:val="24"/>
        </w:rPr>
        <w:t xml:space="preserve"> </w:t>
      </w:r>
      <w:r w:rsidR="000B7D74">
        <w:rPr>
          <w:rFonts w:ascii="Arial" w:hAnsi="Arial" w:cs="Arial"/>
          <w:sz w:val="24"/>
          <w:szCs w:val="24"/>
        </w:rPr>
        <w:t>[Accessed on 5 May 2022]</w:t>
      </w:r>
    </w:p>
    <w:sectPr w:rsidR="00CB451A" w:rsidRPr="0088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F7"/>
    <w:rsid w:val="00054ED0"/>
    <w:rsid w:val="000B7D74"/>
    <w:rsid w:val="007B1A7F"/>
    <w:rsid w:val="00847365"/>
    <w:rsid w:val="00887322"/>
    <w:rsid w:val="008D538B"/>
    <w:rsid w:val="00AD5AC6"/>
    <w:rsid w:val="00C30ED5"/>
    <w:rsid w:val="00CB451A"/>
    <w:rsid w:val="00D35E6B"/>
    <w:rsid w:val="00EB5BEE"/>
    <w:rsid w:val="00ED042E"/>
    <w:rsid w:val="00F60D19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7F7D"/>
  <w15:chartTrackingRefBased/>
  <w15:docId w15:val="{89D8B804-F1C7-4D8A-88BD-12412377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77/2515245919848684" TargetMode="External"/><Relationship Id="rId5" Type="http://schemas.openxmlformats.org/officeDocument/2006/relationships/hyperlink" Target="https://doi.org/10.1177/1753193420905263" TargetMode="External"/><Relationship Id="rId4" Type="http://schemas.openxmlformats.org/officeDocument/2006/relationships/hyperlink" Target="https://www.acm.org/code-of-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Martinez Diez</dc:creator>
  <cp:keywords/>
  <dc:description/>
  <cp:lastModifiedBy>Raquel Martinez Diez</cp:lastModifiedBy>
  <cp:revision>6</cp:revision>
  <dcterms:created xsi:type="dcterms:W3CDTF">2022-05-05T16:21:00Z</dcterms:created>
  <dcterms:modified xsi:type="dcterms:W3CDTF">2022-05-05T17:54:00Z</dcterms:modified>
</cp:coreProperties>
</file>