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fyi2f1anv50" w:id="0"/>
      <w:bookmarkEnd w:id="0"/>
      <w:r w:rsidDel="00000000" w:rsidR="00000000" w:rsidRPr="00000000">
        <w:rPr>
          <w:b w:val="1"/>
          <w:bCs w:val="1"/>
          <w:sz w:val="46"/>
          <w:szCs w:val="46"/>
          <w:rtl w:val="0"/>
        </w:rPr>
        <w:t xml:space="preserve">Investment Committee Newsletter - September 2025</w:t>
      </w:r>
    </w:p>
    <w:p w:rsidR="00000000" w:rsidDel="00000000" w:rsidP="00000000" w:rsidRDefault="00000000" w:rsidRPr="00000000" w14:paraId="00000002">
      <w:pPr>
        <w:spacing w:after="240" w:before="240" w:lineRule="auto"/>
        <w:rPr/>
      </w:pPr>
      <w:r w:rsidDel="00000000" w:rsidR="00000000" w:rsidRPr="00000000">
        <w:rPr>
          <w:rtl w:val="0"/>
        </w:rPr>
        <w:t xml:space="preserve">The Investment Committee team presents its September 2025 newsletter, where we share insights surrounding the Capital Pool and Nexus Mutual’s investments. The goal is to make key data transparent and easily accessible to everyone.</w:t>
      </w:r>
    </w:p>
    <w:p w:rsidR="00000000" w:rsidDel="00000000" w:rsidP="00000000" w:rsidRDefault="00000000" w:rsidRPr="00000000" w14:paraId="00000003">
      <w:pPr>
        <w:spacing w:after="240" w:before="240" w:lineRule="auto"/>
        <w:rPr>
          <w:b w:val="1"/>
          <w:bCs w:val="1"/>
          <w:i w:val="1"/>
          <w:iCs w:val="1"/>
        </w:rPr>
      </w:pPr>
      <w:r w:rsidDel="00000000" w:rsidR="00000000" w:rsidRPr="00000000">
        <w:rPr>
          <w:b w:val="1"/>
          <w:bCs w:val="1"/>
          <w:i w:val="1"/>
          <w:iCs w:val="1"/>
          <w:rtl w:val="0"/>
        </w:rPr>
        <w:t xml:space="preserve">State of the Capital Pool</w:t>
      </w:r>
    </w:p>
    <w:p w:rsidR="00000000" w:rsidDel="00000000" w:rsidP="00000000" w:rsidRDefault="00000000" w:rsidRPr="00000000" w14:paraId="00000004">
      <w:pPr>
        <w:spacing w:after="240" w:before="240" w:lineRule="auto"/>
        <w:rPr>
          <w:b w:val="1"/>
          <w:bCs w:val="1"/>
          <w:i w:val="1"/>
          <w:iCs w:val="1"/>
        </w:rPr>
      </w:pPr>
      <w:r w:rsidDel="00000000" w:rsidR="00000000" w:rsidRPr="00000000">
        <w:rPr>
          <w:b w:val="1"/>
          <w:bCs w:val="1"/>
          <w:i w:val="1"/>
          <w:iCs w:val="1"/>
          <w:rtl w:val="0"/>
        </w:rPr>
        <w:t xml:space="preserve">Monthly Change - ETH value</w:t>
      </w:r>
    </w:p>
    <w:p w:rsidR="00000000" w:rsidDel="00000000" w:rsidP="00000000" w:rsidRDefault="00000000" w:rsidRPr="00000000" w14:paraId="00000005">
      <w:pPr>
        <w:spacing w:after="240" w:before="240" w:lineRule="auto"/>
        <w:rPr/>
      </w:pPr>
      <w:r w:rsidDel="00000000" w:rsidR="00000000" w:rsidRPr="00000000">
        <w:rPr>
          <w:rtl w:val="0"/>
        </w:rPr>
        <w:t xml:space="preserve">The Capital Pool decreased by 4.97% in ETH terms this month, from 52.1k to 49.5k ETH. Withdrawals through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RAMM</w:t>
        </w:r>
      </w:hyperlink>
      <w:r w:rsidDel="00000000" w:rsidR="00000000" w:rsidRPr="00000000">
        <w:rPr>
          <w:rtl w:val="0"/>
        </w:rPr>
        <w:t xml:space="preserve">, which totaled 3.0k redemptions, were the primary factor in this decline. However, the slight drop in ETH price created a positive FX impact from stablecoin holdings, while both Cover Fees and Investment holdings also contributed positively.</w:t>
      </w:r>
    </w:p>
    <w:p w:rsidR="00000000" w:rsidDel="00000000" w:rsidP="00000000" w:rsidRDefault="00000000" w:rsidRPr="00000000" w14:paraId="00000006">
      <w:pPr>
        <w:spacing w:after="240" w:before="240" w:lineRule="auto"/>
        <w:rPr/>
      </w:pPr>
      <w:r w:rsidDel="00000000" w:rsidR="00000000" w:rsidRPr="00000000">
        <w:rPr>
          <w:rtl w:val="0"/>
        </w:rPr>
        <w:t xml:space="preserve">The various impacts on the capital pool are summarised in the waterfall chart below.</w:t>
      </w:r>
    </w:p>
    <w:p w:rsidR="00000000" w:rsidDel="00000000" w:rsidP="00000000" w:rsidRDefault="00000000" w:rsidRPr="00000000" w14:paraId="00000007">
      <w:pPr>
        <w:spacing w:after="240" w:before="240" w:lineRule="auto"/>
        <w:rPr/>
      </w:pPr>
      <w:r w:rsidDel="00000000" w:rsidR="00000000" w:rsidRPr="00000000">
        <w:rPr/>
        <w:drawing>
          <wp:inline distB="114300" distT="114300" distL="114300" distR="114300">
            <wp:extent cx="5648325" cy="55435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4832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The cover fee income is net of distribution commissions and excludes covers paid for in NXM. In such a case, the cover fee gets burned and there is no change in the Capital Pool.</w:t>
      </w:r>
    </w:p>
    <w:p w:rsidR="00000000" w:rsidDel="00000000" w:rsidP="00000000" w:rsidRDefault="00000000" w:rsidRPr="00000000" w14:paraId="0000000A">
      <w:pPr>
        <w:spacing w:after="240" w:before="240" w:lineRule="auto"/>
        <w:rPr>
          <w:b w:val="1"/>
          <w:bCs w:val="1"/>
          <w:i w:val="1"/>
          <w:iCs w:val="1"/>
        </w:rPr>
      </w:pPr>
      <w:r w:rsidDel="00000000" w:rsidR="00000000" w:rsidRPr="00000000">
        <w:rPr>
          <w:b w:val="1"/>
          <w:bCs w:val="1"/>
          <w:i w:val="1"/>
          <w:iCs w:val="1"/>
          <w:rtl w:val="0"/>
        </w:rPr>
        <w:t xml:space="preserve">Monthly Change in NXM Book Value</w:t>
      </w:r>
    </w:p>
    <w:p w:rsidR="00000000" w:rsidDel="00000000" w:rsidP="00000000" w:rsidRDefault="00000000" w:rsidRPr="00000000" w14:paraId="0000000B">
      <w:pPr>
        <w:spacing w:after="240" w:before="240" w:lineRule="auto"/>
        <w:rPr/>
      </w:pPr>
      <w:r w:rsidDel="00000000" w:rsidR="00000000" w:rsidRPr="00000000">
        <w:rPr>
          <w:rtl w:val="0"/>
        </w:rPr>
        <w:t xml:space="preserve">The Capital Pool's ETH/NXM value rose from 0.02360 to 0.02387, representing a 13.41% annualized increase for the month. This growth primarily resulted from two factors: the significant positive FX impact from stablecoin holdings and substantial value added through the RAMM.</w:t>
      </w:r>
    </w:p>
    <w:p w:rsidR="00000000" w:rsidDel="00000000" w:rsidP="00000000" w:rsidRDefault="00000000" w:rsidRPr="00000000" w14:paraId="0000000C">
      <w:pPr>
        <w:spacing w:after="240" w:before="240" w:lineRule="auto"/>
        <w:rPr/>
      </w:pPr>
      <w:r w:rsidDel="00000000" w:rsidR="00000000" w:rsidRPr="00000000">
        <w:rPr>
          <w:rtl w:val="0"/>
        </w:rPr>
        <w:t xml:space="preserve">The various impacts on the capital pool are summarised in the waterfall chart below.</w:t>
      </w:r>
    </w:p>
    <w:p w:rsidR="00000000" w:rsidDel="00000000" w:rsidP="00000000" w:rsidRDefault="00000000" w:rsidRPr="00000000" w14:paraId="0000000D">
      <w:pPr>
        <w:spacing w:after="240" w:before="240" w:lineRule="auto"/>
        <w:rPr/>
      </w:pPr>
      <w:r w:rsidDel="00000000" w:rsidR="00000000" w:rsidRPr="00000000">
        <w:rPr/>
        <w:drawing>
          <wp:inline distB="114300" distT="114300" distL="114300" distR="114300">
            <wp:extent cx="5562600" cy="545782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62600"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Members can track protocol’s revenue on the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Financials</w:t>
        </w:r>
      </w:hyperlink>
      <w:r w:rsidDel="00000000" w:rsidR="00000000" w:rsidRPr="00000000">
        <w:rPr>
          <w:rtl w:val="0"/>
        </w:rPr>
        <w:t xml:space="preserve"> Dune Dashboard.</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 Members can track in/outflows on the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Ratcheting AMM</w:t>
        </w:r>
      </w:hyperlink>
      <w:r w:rsidDel="00000000" w:rsidR="00000000" w:rsidRPr="00000000">
        <w:rPr>
          <w:rtl w:val="0"/>
        </w:rPr>
        <w:t xml:space="preserve"> Dune Dashboard.</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Members can track the cover income on the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Covers</w:t>
        </w:r>
      </w:hyperlink>
      <w:r w:rsidDel="00000000" w:rsidR="00000000" w:rsidRPr="00000000">
        <w:rPr>
          <w:rtl w:val="0"/>
        </w:rPr>
        <w:t xml:space="preserve"> Dune Dashboard.</w:t>
      </w:r>
    </w:p>
    <w:p w:rsidR="00000000" w:rsidDel="00000000" w:rsidP="00000000" w:rsidRDefault="00000000" w:rsidRPr="00000000" w14:paraId="00000011">
      <w:pPr>
        <w:spacing w:after="240" w:before="240" w:lineRule="auto"/>
        <w:rPr>
          <w:b w:val="1"/>
          <w:bCs w:val="1"/>
          <w:i w:val="1"/>
          <w:iCs w:val="1"/>
        </w:rPr>
      </w:pPr>
      <w:r w:rsidDel="00000000" w:rsidR="00000000" w:rsidRPr="00000000">
        <w:rPr>
          <w:b w:val="1"/>
          <w:bCs w:val="1"/>
          <w:i w:val="1"/>
          <w:iCs w:val="1"/>
          <w:rtl w:val="0"/>
        </w:rPr>
        <w:t xml:space="preserve">End of Month Pool Split</w:t>
      </w:r>
    </w:p>
    <w:p w:rsidR="00000000" w:rsidDel="00000000" w:rsidP="00000000" w:rsidRDefault="00000000" w:rsidRPr="00000000" w14:paraId="00000012">
      <w:pPr>
        <w:spacing w:after="240" w:before="240" w:lineRule="auto"/>
        <w:rPr/>
      </w:pPr>
      <w:r w:rsidDel="00000000" w:rsidR="00000000" w:rsidRPr="00000000">
        <w:rPr>
          <w:rtl w:val="0"/>
        </w:rPr>
        <w:t xml:space="preserve">The split of the Capital Pool at the end of September ‘25 in ETH terms is as follows.</w:t>
      </w:r>
    </w:p>
    <w:p w:rsidR="00000000" w:rsidDel="00000000" w:rsidP="00000000" w:rsidRDefault="00000000" w:rsidRPr="00000000" w14:paraId="00000013">
      <w:pPr>
        <w:spacing w:after="240" w:before="240" w:lineRule="auto"/>
        <w:rPr/>
      </w:pPr>
      <w:r w:rsidDel="00000000" w:rsidR="00000000" w:rsidRPr="00000000">
        <w:rPr/>
        <w:drawing>
          <wp:inline distB="114300" distT="114300" distL="114300" distR="114300">
            <wp:extent cx="5562600" cy="545782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62600"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Members can find the updated split at any time on the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Capital Pool and Ownership</w:t>
        </w:r>
      </w:hyperlink>
      <w:r w:rsidDel="00000000" w:rsidR="00000000" w:rsidRPr="00000000">
        <w:rPr>
          <w:rtl w:val="0"/>
        </w:rPr>
        <w:t xml:space="preserve"> Dune Dashboard.</w:t>
      </w:r>
    </w:p>
    <w:p w:rsidR="00000000" w:rsidDel="00000000" w:rsidP="00000000" w:rsidRDefault="00000000" w:rsidRPr="00000000" w14:paraId="00000015">
      <w:pPr>
        <w:spacing w:after="240" w:before="240" w:lineRule="auto"/>
        <w:rPr>
          <w:b w:val="1"/>
          <w:bCs w:val="1"/>
          <w:i w:val="1"/>
          <w:iCs w:val="1"/>
        </w:rPr>
      </w:pPr>
      <w:r w:rsidDel="00000000" w:rsidR="00000000" w:rsidRPr="00000000">
        <w:rPr>
          <w:b w:val="1"/>
          <w:bCs w:val="1"/>
          <w:i w:val="1"/>
          <w:iCs w:val="1"/>
          <w:rtl w:val="0"/>
        </w:rPr>
        <w:t xml:space="preserve">State of the Investments</w:t>
      </w:r>
    </w:p>
    <w:p w:rsidR="00000000" w:rsidDel="00000000" w:rsidP="00000000" w:rsidRDefault="00000000" w:rsidRPr="00000000" w14:paraId="00000016">
      <w:pPr>
        <w:spacing w:after="240" w:before="240" w:lineRule="auto"/>
        <w:rPr/>
      </w:pPr>
      <w:r w:rsidDel="00000000" w:rsidR="00000000" w:rsidRPr="00000000">
        <w:rPr>
          <w:rtl w:val="0"/>
        </w:rPr>
        <w:t xml:space="preserve">In the last month, the Mutual earned 90.5 ETH on its investments, overall, as broken down below.</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stETH Monthly Return: 29.362</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stETH Monthly APY: 2.701%</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rETH Monthly Return: 22.319</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rETH Monthly APY: 2.371%</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Enzyme Vault Monthly Return: 38.787</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Enzyme Vault Monthly APY: 3.286%</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Enzyme Vault includes EtherFi investments</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ETH Earned: 90.467</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Monthly APY: 2.157%</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Based on average Capital Pool amount over the monthly period</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All returns after fees</w:t>
      </w:r>
    </w:p>
    <w:p w:rsidR="00000000" w:rsidDel="00000000" w:rsidP="00000000" w:rsidRDefault="00000000" w:rsidRPr="00000000" w14:paraId="00000026">
      <w:pPr>
        <w:spacing w:after="240" w:before="240" w:lineRule="auto"/>
        <w:rPr/>
      </w:pPr>
      <w:r w:rsidDel="00000000" w:rsidR="00000000" w:rsidRPr="00000000">
        <w:rPr>
          <w:color w:val="188038"/>
          <w:rtl w:val="0"/>
        </w:rPr>
        <w:t xml:space="preserve"></w:t>
      </w:r>
      <w:r w:rsidDel="00000000" w:rsidR="00000000" w:rsidRPr="00000000">
        <w:rPr/>
        <w:drawing>
          <wp:inline distB="114300" distT="114300" distL="114300" distR="114300">
            <wp:extent cx="6929438" cy="3394901"/>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929438" cy="3394901"/>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Active staking investments yielded between 2.4% and 3.3% APY, showing healthy ETH staking returns. Overall, based on the average Capital Pool value for the month, investments returned 2.2% APY.</w:t>
      </w:r>
    </w:p>
    <w:p w:rsidR="00000000" w:rsidDel="00000000" w:rsidP="00000000" w:rsidRDefault="00000000" w:rsidRPr="00000000" w14:paraId="00000028">
      <w:pPr>
        <w:spacing w:after="240" w:before="240" w:lineRule="auto"/>
        <w:rPr>
          <w:b w:val="1"/>
          <w:bCs w:val="1"/>
          <w:i w:val="1"/>
          <w:iCs w:val="1"/>
        </w:rPr>
      </w:pPr>
      <w:r w:rsidDel="00000000" w:rsidR="00000000" w:rsidRPr="00000000">
        <w:rPr>
          <w:b w:val="1"/>
          <w:bCs w:val="1"/>
          <w:i w:val="1"/>
          <w:iCs w:val="1"/>
          <w:rtl w:val="0"/>
        </w:rPr>
        <w:t xml:space="preserve">Investment Committee Priorities</w:t>
      </w:r>
    </w:p>
    <w:p w:rsidR="00000000" w:rsidDel="00000000" w:rsidP="00000000" w:rsidRDefault="00000000" w:rsidRPr="00000000" w14:paraId="00000029">
      <w:pPr>
        <w:numPr>
          <w:ilvl w:val="0"/>
          <w:numId w:val="1"/>
        </w:numPr>
        <w:spacing w:after="240" w:before="240" w:lineRule="auto"/>
        <w:ind w:left="720" w:hanging="360"/>
      </w:pPr>
      <w:r w:rsidDel="00000000" w:rsidR="00000000" w:rsidRPr="00000000">
        <w:rPr>
          <w:rtl w:val="0"/>
        </w:rPr>
        <w:t xml:space="preserve">The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[RFC] Proposal: ETH Lending via Morpho</w:t>
        </w:r>
      </w:hyperlink>
      <w:r w:rsidDel="00000000" w:rsidR="00000000" w:rsidRPr="00000000">
        <w:rPr>
          <w:rtl w:val="0"/>
        </w:rPr>
        <w:t xml:space="preserve"> has been published on the forum proposing the allocation of idle ETH from the Enzyme Vault to Morpho Vaults. We encourage all members to review and share their feedback on this proposal.</w:t>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orum.nexusmutual.io/t/rfc-proposal-eth-lending-via-morpho/1805" TargetMode="External"/><Relationship Id="rId11" Type="http://schemas.openxmlformats.org/officeDocument/2006/relationships/hyperlink" Target="https://dune.com/nexus_mutual/financials" TargetMode="External"/><Relationship Id="rId10" Type="http://schemas.openxmlformats.org/officeDocument/2006/relationships/hyperlink" Target="https://dune.com/nexus_mutual/financials" TargetMode="External"/><Relationship Id="rId13" Type="http://schemas.openxmlformats.org/officeDocument/2006/relationships/hyperlink" Target="https://dune.com/nexus_mutual/ratcheting-amm" TargetMode="External"/><Relationship Id="rId12" Type="http://schemas.openxmlformats.org/officeDocument/2006/relationships/hyperlink" Target="https://dune.com/nexus_mutual/ratcheting-am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une.com/nexus_mutual/covers" TargetMode="External"/><Relationship Id="rId14" Type="http://schemas.openxmlformats.org/officeDocument/2006/relationships/hyperlink" Target="https://dune.com/nexus_mutual/covers" TargetMode="External"/><Relationship Id="rId17" Type="http://schemas.openxmlformats.org/officeDocument/2006/relationships/hyperlink" Target="https://dune.com/nexus_mutual/capital-pool-and-ownership" TargetMode="External"/><Relationship Id="rId16" Type="http://schemas.openxmlformats.org/officeDocument/2006/relationships/hyperlink" Target="https://dune.com/nexus_mutual/capital-pool-and-ownership" TargetMode="External"/><Relationship Id="rId5" Type="http://schemas.openxmlformats.org/officeDocument/2006/relationships/styles" Target="styles.xml"/><Relationship Id="rId19" Type="http://schemas.openxmlformats.org/officeDocument/2006/relationships/hyperlink" Target="https://forum.nexusmutual.io/t/rfc-proposal-eth-lending-via-morpho/1805" TargetMode="External"/><Relationship Id="rId6" Type="http://schemas.openxmlformats.org/officeDocument/2006/relationships/hyperlink" Target="https://docs.nexusmutual.io/protocol/nxm-token/token-model" TargetMode="External"/><Relationship Id="rId18" Type="http://schemas.openxmlformats.org/officeDocument/2006/relationships/image" Target="media/image1.png"/><Relationship Id="rId7" Type="http://schemas.openxmlformats.org/officeDocument/2006/relationships/hyperlink" Target="https://docs.nexusmutual.io/protocol/nxm-token/token-model"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